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03140" w14:textId="77777777" w:rsidR="001325D1" w:rsidRPr="00115B71" w:rsidRDefault="001325D1" w:rsidP="00144850">
      <w:pPr>
        <w:pStyle w:val="Heading4"/>
        <w:jc w:val="both"/>
        <w:rPr>
          <w:iCs w:val="0"/>
          <w:color w:val="5BC2E7" w:themeColor="accent1"/>
          <w:szCs w:val="20"/>
        </w:rPr>
      </w:pPr>
    </w:p>
    <w:p w14:paraId="0BC2D6CB" w14:textId="7C2E6CED" w:rsidR="001325D1" w:rsidRDefault="001325D1" w:rsidP="00115B71">
      <w:pPr>
        <w:pStyle w:val="Heading4"/>
        <w:spacing w:before="0" w:after="0"/>
        <w:rPr>
          <w:iCs w:val="0"/>
          <w:color w:val="5BC2E7" w:themeColor="accent1"/>
          <w:sz w:val="48"/>
          <w:szCs w:val="32"/>
        </w:rPr>
      </w:pPr>
      <w:r w:rsidRPr="00F62810">
        <w:rPr>
          <w:iCs w:val="0"/>
          <w:color w:val="5BC2E7" w:themeColor="accent1"/>
          <w:sz w:val="48"/>
          <w:szCs w:val="32"/>
        </w:rPr>
        <w:t>Require</w:t>
      </w:r>
      <w:r w:rsidRPr="00115B71">
        <w:rPr>
          <w:iCs w:val="0"/>
          <w:color w:val="5BC2E7"/>
          <w:sz w:val="48"/>
          <w:szCs w:val="32"/>
        </w:rPr>
        <w:t>m</w:t>
      </w:r>
      <w:r w:rsidRPr="00F62810">
        <w:rPr>
          <w:iCs w:val="0"/>
          <w:color w:val="5BC2E7" w:themeColor="accent1"/>
          <w:sz w:val="48"/>
          <w:szCs w:val="32"/>
        </w:rPr>
        <w:t xml:space="preserve">ents for </w:t>
      </w:r>
      <w:r w:rsidR="00374FFE">
        <w:rPr>
          <w:iCs w:val="0"/>
          <w:color w:val="5BC2E7" w:themeColor="accent1"/>
          <w:sz w:val="48"/>
          <w:szCs w:val="32"/>
        </w:rPr>
        <w:t>Biocontainment Facilit</w:t>
      </w:r>
      <w:r w:rsidR="00702512">
        <w:rPr>
          <w:iCs w:val="0"/>
          <w:color w:val="5BC2E7" w:themeColor="accent1"/>
          <w:sz w:val="48"/>
          <w:szCs w:val="32"/>
        </w:rPr>
        <w:t>ies</w:t>
      </w:r>
      <w:r w:rsidRPr="00F62810">
        <w:rPr>
          <w:iCs w:val="0"/>
          <w:color w:val="5BC2E7" w:themeColor="accent1"/>
          <w:sz w:val="48"/>
          <w:szCs w:val="32"/>
        </w:rPr>
        <w:t xml:space="preserve"> </w:t>
      </w:r>
    </w:p>
    <w:p w14:paraId="39D7600F" w14:textId="77777777" w:rsidR="003250C9" w:rsidRPr="00F62810" w:rsidRDefault="003250C9" w:rsidP="00144850">
      <w:pPr>
        <w:pStyle w:val="BodyText"/>
        <w:spacing w:before="0" w:after="0" w:line="276" w:lineRule="auto"/>
        <w:jc w:val="both"/>
        <w:rPr>
          <w:b/>
          <w:sz w:val="10"/>
          <w:szCs w:val="10"/>
        </w:rPr>
      </w:pPr>
    </w:p>
    <w:tbl>
      <w:tblPr>
        <w:tblW w:w="10065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1E0" w:firstRow="1" w:lastRow="1" w:firstColumn="1" w:lastColumn="1" w:noHBand="0" w:noVBand="0"/>
      </w:tblPr>
      <w:tblGrid>
        <w:gridCol w:w="10065"/>
      </w:tblGrid>
      <w:tr w:rsidR="004423A3" w:rsidRPr="00F62810" w14:paraId="368F9CB9" w14:textId="77777777" w:rsidTr="7731A6EF">
        <w:trPr>
          <w:trHeight w:val="113"/>
        </w:trPr>
        <w:tc>
          <w:tcPr>
            <w:tcW w:w="10065" w:type="dxa"/>
            <w:tcBorders>
              <w:top w:val="single" w:sz="4" w:space="0" w:color="000000" w:themeColor="text1"/>
              <w:left w:val="single" w:sz="4" w:space="0" w:color="F2F2F2" w:themeColor="background2" w:themeShade="F2"/>
              <w:bottom w:val="single" w:sz="4" w:space="0" w:color="000000" w:themeColor="text1"/>
              <w:right w:val="single" w:sz="4" w:space="0" w:color="F2F2F2" w:themeColor="background2" w:themeShade="F2"/>
            </w:tcBorders>
            <w:shd w:val="clear" w:color="auto" w:fill="F2F2F2" w:themeFill="background2" w:themeFillShade="F2"/>
            <w:vAlign w:val="center"/>
          </w:tcPr>
          <w:p w14:paraId="50B7B4A5" w14:textId="49255BEF" w:rsidR="001325D1" w:rsidRPr="00115B71" w:rsidRDefault="001325D1" w:rsidP="00144850">
            <w:pPr>
              <w:pStyle w:val="Heading4"/>
              <w:jc w:val="center"/>
              <w:rPr>
                <w:color w:val="auto"/>
              </w:rPr>
            </w:pPr>
            <w:r w:rsidRPr="00115B71">
              <w:rPr>
                <w:color w:val="auto"/>
              </w:rPr>
              <w:t xml:space="preserve">GENERAL </w:t>
            </w:r>
            <w:r w:rsidR="00702512">
              <w:rPr>
                <w:color w:val="auto"/>
              </w:rPr>
              <w:t>FACILITY</w:t>
            </w:r>
            <w:r w:rsidR="00702512" w:rsidRPr="00115B71">
              <w:rPr>
                <w:color w:val="auto"/>
              </w:rPr>
              <w:t xml:space="preserve"> </w:t>
            </w:r>
            <w:r w:rsidRPr="00115B71">
              <w:rPr>
                <w:color w:val="auto"/>
              </w:rPr>
              <w:t>REQUIREMENTS</w:t>
            </w:r>
          </w:p>
          <w:p w14:paraId="329A100F" w14:textId="41FEBB48" w:rsidR="001325D1" w:rsidRPr="00115B71" w:rsidRDefault="001325D1" w:rsidP="00144850">
            <w:pPr>
              <w:pStyle w:val="Heading4"/>
              <w:jc w:val="center"/>
              <w:rPr>
                <w:color w:val="auto"/>
              </w:rPr>
            </w:pPr>
            <w:r w:rsidRPr="00115B71">
              <w:rPr>
                <w:color w:val="auto"/>
              </w:rPr>
              <w:t>Requirements 1 - 2</w:t>
            </w:r>
            <w:r w:rsidR="00A67314">
              <w:rPr>
                <w:color w:val="auto"/>
              </w:rPr>
              <w:t>4</w:t>
            </w:r>
            <w:r w:rsidRPr="00115B71">
              <w:rPr>
                <w:color w:val="auto"/>
              </w:rPr>
              <w:t xml:space="preserve"> apply</w:t>
            </w:r>
          </w:p>
          <w:p w14:paraId="168CE73C" w14:textId="33215C8C" w:rsidR="00144850" w:rsidRPr="00F62810" w:rsidRDefault="00D24274" w:rsidP="00115B71">
            <w:pPr>
              <w:pStyle w:val="TableParagraph"/>
              <w:spacing w:before="120" w:after="120" w:line="264" w:lineRule="auto"/>
              <w:ind w:left="0"/>
              <w:jc w:val="both"/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</w:pPr>
            <w:r w:rsidRPr="00F62810"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  <w:t xml:space="preserve">General </w:t>
            </w:r>
            <w:r w:rsidR="00702512"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  <w:t>Facility</w:t>
            </w:r>
            <w:r w:rsidR="00702512" w:rsidRPr="00F62810"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  <w:t xml:space="preserve"> </w:t>
            </w:r>
            <w:r w:rsidRPr="00F62810"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  <w:t xml:space="preserve">Requirements focus on maintaining a safe and controlled environment for handling low-risk chemicals and biological agents. These guidelines ensure proper waste management, personal protection, and facility hygiene. Common agents in general </w:t>
            </w:r>
            <w:r w:rsidR="00702512"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  <w:t>lab</w:t>
            </w:r>
            <w:r w:rsidR="00254FA5"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  <w:t>o</w:t>
            </w:r>
            <w:r w:rsidR="00103FA0"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  <w:t>ratory</w:t>
            </w:r>
            <w:r w:rsidR="00702512"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  <w:t xml:space="preserve"> facilities</w:t>
            </w:r>
            <w:r w:rsidR="00702512" w:rsidRPr="00F62810"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  <w:t xml:space="preserve"> </w:t>
            </w:r>
            <w:r w:rsidRPr="00F62810"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  <w:t>include non-hazardous chemicals, non-pathogenic microorganisms, and environmental samples used for basic research or teaching purposes.</w:t>
            </w:r>
          </w:p>
        </w:tc>
      </w:tr>
      <w:tr w:rsidR="004423A3" w:rsidRPr="00F62810" w14:paraId="3ED6692E" w14:textId="77777777" w:rsidTr="7731A6EF">
        <w:trPr>
          <w:trHeight w:val="113"/>
        </w:trPr>
        <w:tc>
          <w:tcPr>
            <w:tcW w:w="10065" w:type="dxa"/>
            <w:tcBorders>
              <w:top w:val="single" w:sz="4" w:space="0" w:color="000000" w:themeColor="text1"/>
              <w:left w:val="single" w:sz="4" w:space="0" w:color="F2F2F2" w:themeColor="background2" w:themeShade="F2"/>
              <w:bottom w:val="single" w:sz="4" w:space="0" w:color="000000" w:themeColor="text1"/>
              <w:right w:val="single" w:sz="4" w:space="0" w:color="F2F2F2" w:themeColor="background2" w:themeShade="F2"/>
            </w:tcBorders>
            <w:shd w:val="clear" w:color="auto" w:fill="BFBFBF" w:themeFill="background2" w:themeFillShade="BF"/>
          </w:tcPr>
          <w:p w14:paraId="3E7C3A53" w14:textId="77BC49BA" w:rsidR="003250C9" w:rsidRPr="00F62810" w:rsidRDefault="001325D1" w:rsidP="00144850">
            <w:pPr>
              <w:pStyle w:val="TableParagraph"/>
              <w:ind w:left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AU"/>
              </w:rPr>
            </w:pPr>
            <w:r w:rsidRPr="00F62810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>Structural Requirements</w:t>
            </w:r>
          </w:p>
        </w:tc>
      </w:tr>
      <w:tr w:rsidR="001325D1" w:rsidRPr="00F62810" w14:paraId="56F81A0F" w14:textId="77777777" w:rsidTr="7731A6EF">
        <w:trPr>
          <w:trHeight w:val="466"/>
        </w:trPr>
        <w:tc>
          <w:tcPr>
            <w:tcW w:w="10065" w:type="dxa"/>
            <w:tcBorders>
              <w:top w:val="single" w:sz="4" w:space="0" w:color="000000" w:themeColor="text1"/>
              <w:left w:val="nil"/>
              <w:right w:val="nil"/>
            </w:tcBorders>
          </w:tcPr>
          <w:p w14:paraId="428DDA2F" w14:textId="21E844BF" w:rsidR="001325D1" w:rsidRPr="00F62810" w:rsidRDefault="001325D1" w:rsidP="00144850">
            <w:pPr>
              <w:pStyle w:val="TableParagraph"/>
              <w:numPr>
                <w:ilvl w:val="0"/>
                <w:numId w:val="30"/>
              </w:numPr>
              <w:jc w:val="both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AU"/>
              </w:rPr>
            </w:pPr>
            <w:r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 xml:space="preserve">The </w:t>
            </w:r>
            <w:r w:rsidR="0070251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facility</w:t>
            </w:r>
            <w:r w:rsidR="00702512"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 xml:space="preserve"> </w:t>
            </w:r>
            <w:r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must be a fully enclosable space (bounded by walls, floors, ceilings, windows, and doors).</w:t>
            </w:r>
          </w:p>
        </w:tc>
      </w:tr>
      <w:tr w:rsidR="001325D1" w:rsidRPr="00F62810" w14:paraId="09ACAC03" w14:textId="77777777" w:rsidTr="7731A6EF">
        <w:trPr>
          <w:trHeight w:val="466"/>
        </w:trPr>
        <w:tc>
          <w:tcPr>
            <w:tcW w:w="10065" w:type="dxa"/>
            <w:tcBorders>
              <w:left w:val="nil"/>
              <w:right w:val="nil"/>
            </w:tcBorders>
          </w:tcPr>
          <w:p w14:paraId="070C9B40" w14:textId="204A47F0" w:rsidR="001325D1" w:rsidRPr="00F62810" w:rsidRDefault="001325D1" w:rsidP="00144850">
            <w:pPr>
              <w:pStyle w:val="TableParagraph"/>
              <w:numPr>
                <w:ilvl w:val="0"/>
                <w:numId w:val="30"/>
              </w:numPr>
              <w:jc w:val="both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AU"/>
              </w:rPr>
            </w:pPr>
            <w:r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Floors must be smooth, impermeable, resistant to chemicals used in the laboratory, slip-resistant, and easy to clean.</w:t>
            </w:r>
          </w:p>
        </w:tc>
      </w:tr>
      <w:tr w:rsidR="001325D1" w:rsidRPr="00F62810" w14:paraId="4ABA7F3C" w14:textId="77777777" w:rsidTr="7731A6EF">
        <w:trPr>
          <w:trHeight w:val="466"/>
        </w:trPr>
        <w:tc>
          <w:tcPr>
            <w:tcW w:w="10065" w:type="dxa"/>
            <w:tcBorders>
              <w:left w:val="nil"/>
              <w:right w:val="nil"/>
            </w:tcBorders>
          </w:tcPr>
          <w:p w14:paraId="404FA6B0" w14:textId="621CC647" w:rsidR="001325D1" w:rsidRPr="00F62810" w:rsidRDefault="001325D1" w:rsidP="00144850">
            <w:pPr>
              <w:pStyle w:val="TableParagraph"/>
              <w:numPr>
                <w:ilvl w:val="0"/>
                <w:numId w:val="30"/>
              </w:numPr>
              <w:jc w:val="both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AU"/>
              </w:rPr>
            </w:pPr>
            <w:r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All surfaces, including benches, walls, shelving, and furniture, must be cleanable, easily decontaminated, and resistant to the cleaning agents or disinfectants used in the facility.</w:t>
            </w:r>
          </w:p>
        </w:tc>
      </w:tr>
      <w:tr w:rsidR="001325D1" w:rsidRPr="00F62810" w14:paraId="4DA4EB95" w14:textId="77777777" w:rsidTr="7731A6EF">
        <w:trPr>
          <w:trHeight w:val="466"/>
        </w:trPr>
        <w:tc>
          <w:tcPr>
            <w:tcW w:w="10065" w:type="dxa"/>
            <w:tcBorders>
              <w:left w:val="nil"/>
              <w:bottom w:val="single" w:sz="4" w:space="0" w:color="000000" w:themeColor="text1"/>
              <w:right w:val="nil"/>
            </w:tcBorders>
          </w:tcPr>
          <w:p w14:paraId="6FAFFDB5" w14:textId="5FC65192" w:rsidR="001325D1" w:rsidRPr="00F62810" w:rsidRDefault="001325D1" w:rsidP="00144850">
            <w:pPr>
              <w:pStyle w:val="TableParagraph"/>
              <w:numPr>
                <w:ilvl w:val="0"/>
                <w:numId w:val="30"/>
              </w:numPr>
              <w:jc w:val="both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AU"/>
              </w:rPr>
            </w:pPr>
            <w:r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The facility shall be designed to prevent infestation by vermin</w:t>
            </w:r>
            <w:r w:rsidR="005E6986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.</w:t>
            </w:r>
          </w:p>
        </w:tc>
      </w:tr>
      <w:tr w:rsidR="001325D1" w:rsidRPr="00F62810" w14:paraId="031CBC9B" w14:textId="77777777" w:rsidTr="7731A6EF">
        <w:trPr>
          <w:trHeight w:val="466"/>
        </w:trPr>
        <w:tc>
          <w:tcPr>
            <w:tcW w:w="10065" w:type="dxa"/>
            <w:tcBorders>
              <w:left w:val="nil"/>
              <w:bottom w:val="single" w:sz="4" w:space="0" w:color="000000" w:themeColor="text1"/>
              <w:right w:val="nil"/>
            </w:tcBorders>
          </w:tcPr>
          <w:p w14:paraId="02B8B5A2" w14:textId="4212D4F0" w:rsidR="001325D1" w:rsidRPr="00F62810" w:rsidRDefault="001325D1" w:rsidP="00144850">
            <w:pPr>
              <w:pStyle w:val="TableParagraph"/>
              <w:numPr>
                <w:ilvl w:val="0"/>
                <w:numId w:val="30"/>
              </w:numPr>
              <w:jc w:val="both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AU"/>
              </w:rPr>
            </w:pPr>
            <w:r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Furniture shall be ergonomically suitable and appropriate for the specific purpose.</w:t>
            </w:r>
          </w:p>
        </w:tc>
      </w:tr>
      <w:tr w:rsidR="001325D1" w:rsidRPr="00F62810" w14:paraId="69D621FE" w14:textId="77777777" w:rsidTr="7731A6EF">
        <w:trPr>
          <w:trHeight w:val="466"/>
        </w:trPr>
        <w:tc>
          <w:tcPr>
            <w:tcW w:w="10065" w:type="dxa"/>
            <w:tcBorders>
              <w:left w:val="nil"/>
              <w:bottom w:val="single" w:sz="4" w:space="0" w:color="000000" w:themeColor="text1"/>
              <w:right w:val="nil"/>
            </w:tcBorders>
          </w:tcPr>
          <w:p w14:paraId="3809C4F8" w14:textId="66A21DB7" w:rsidR="001325D1" w:rsidRPr="00F62810" w:rsidRDefault="001325D1" w:rsidP="00144850">
            <w:pPr>
              <w:pStyle w:val="TableParagraph"/>
              <w:numPr>
                <w:ilvl w:val="0"/>
                <w:numId w:val="30"/>
              </w:numPr>
              <w:jc w:val="both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AU"/>
              </w:rPr>
            </w:pPr>
            <w:r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 xml:space="preserve">A safety shower must be accessible within 10 meters of any point in the </w:t>
            </w:r>
            <w:r w:rsidR="0070251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facility</w:t>
            </w:r>
            <w:r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.</w:t>
            </w:r>
          </w:p>
        </w:tc>
      </w:tr>
      <w:tr w:rsidR="001325D1" w:rsidRPr="00F62810" w14:paraId="296F73BB" w14:textId="77777777" w:rsidTr="7731A6EF">
        <w:trPr>
          <w:trHeight w:val="466"/>
        </w:trPr>
        <w:tc>
          <w:tcPr>
            <w:tcW w:w="10065" w:type="dxa"/>
            <w:tcBorders>
              <w:left w:val="nil"/>
              <w:bottom w:val="single" w:sz="4" w:space="0" w:color="000000" w:themeColor="text1"/>
              <w:right w:val="nil"/>
            </w:tcBorders>
          </w:tcPr>
          <w:p w14:paraId="5C72568E" w14:textId="506B07AB" w:rsidR="001325D1" w:rsidRPr="00F62810" w:rsidRDefault="001325D1" w:rsidP="00144850">
            <w:pPr>
              <w:pStyle w:val="TableParagraph"/>
              <w:numPr>
                <w:ilvl w:val="0"/>
                <w:numId w:val="30"/>
              </w:numPr>
              <w:jc w:val="both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AU"/>
              </w:rPr>
            </w:pPr>
            <w:r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An eyewash station must be fitted, or single-use fresh eye irrigation fluids made available.</w:t>
            </w:r>
          </w:p>
        </w:tc>
      </w:tr>
      <w:tr w:rsidR="001325D1" w:rsidRPr="00F62810" w14:paraId="688727AD" w14:textId="77777777" w:rsidTr="7731A6EF">
        <w:trPr>
          <w:trHeight w:val="466"/>
        </w:trPr>
        <w:tc>
          <w:tcPr>
            <w:tcW w:w="10065" w:type="dxa"/>
            <w:tcBorders>
              <w:left w:val="nil"/>
              <w:bottom w:val="single" w:sz="4" w:space="0" w:color="000000" w:themeColor="text1"/>
              <w:right w:val="nil"/>
            </w:tcBorders>
          </w:tcPr>
          <w:p w14:paraId="27970AD4" w14:textId="0EEAC7D4" w:rsidR="001325D1" w:rsidRPr="00F62810" w:rsidRDefault="001325D1" w:rsidP="00144850">
            <w:pPr>
              <w:pStyle w:val="TableParagraph"/>
              <w:numPr>
                <w:ilvl w:val="0"/>
                <w:numId w:val="30"/>
              </w:numPr>
              <w:jc w:val="both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AU"/>
              </w:rPr>
            </w:pPr>
            <w:r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The facility must contain a dedicated wash basin or some other means of decontaminating hands (e.g., waterless disinfectant).</w:t>
            </w:r>
          </w:p>
        </w:tc>
      </w:tr>
      <w:tr w:rsidR="001325D1" w:rsidRPr="00F62810" w14:paraId="6FD453BF" w14:textId="77777777" w:rsidTr="7731A6EF">
        <w:trPr>
          <w:trHeight w:val="466"/>
        </w:trPr>
        <w:tc>
          <w:tcPr>
            <w:tcW w:w="10065" w:type="dxa"/>
            <w:tcBorders>
              <w:left w:val="nil"/>
              <w:bottom w:val="single" w:sz="4" w:space="0" w:color="000000" w:themeColor="text1"/>
              <w:right w:val="nil"/>
            </w:tcBorders>
          </w:tcPr>
          <w:p w14:paraId="30E22C90" w14:textId="1821ECE8" w:rsidR="001325D1" w:rsidRPr="00F62810" w:rsidRDefault="001325D1" w:rsidP="00144850">
            <w:pPr>
              <w:pStyle w:val="TableParagraph"/>
              <w:numPr>
                <w:ilvl w:val="0"/>
                <w:numId w:val="30"/>
              </w:numPr>
              <w:jc w:val="both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AU"/>
              </w:rPr>
            </w:pPr>
            <w:r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The floor under benches must be easily accessible for cleaning.</w:t>
            </w:r>
          </w:p>
        </w:tc>
      </w:tr>
      <w:tr w:rsidR="003944ED" w:rsidRPr="00F62810" w14:paraId="68D17ACD" w14:textId="77777777" w:rsidTr="7731A6EF">
        <w:trPr>
          <w:trHeight w:val="113"/>
        </w:trPr>
        <w:tc>
          <w:tcPr>
            <w:tcW w:w="10065" w:type="dxa"/>
            <w:tcBorders>
              <w:top w:val="single" w:sz="4" w:space="0" w:color="000000" w:themeColor="text1"/>
              <w:left w:val="single" w:sz="4" w:space="0" w:color="F2F2F2" w:themeColor="background2" w:themeShade="F2"/>
              <w:bottom w:val="single" w:sz="4" w:space="0" w:color="000000" w:themeColor="text1"/>
              <w:right w:val="single" w:sz="4" w:space="0" w:color="F2F2F2" w:themeColor="background2" w:themeShade="F2"/>
            </w:tcBorders>
            <w:shd w:val="clear" w:color="auto" w:fill="BFBFBF" w:themeFill="background2" w:themeFillShade="BF"/>
            <w:vAlign w:val="center"/>
          </w:tcPr>
          <w:p w14:paraId="0C20FE89" w14:textId="675646B4" w:rsidR="003250C9" w:rsidRPr="00F62810" w:rsidRDefault="001325D1" w:rsidP="00D24274">
            <w:pPr>
              <w:pStyle w:val="TableParagraph"/>
              <w:ind w:left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AU"/>
              </w:rPr>
            </w:pPr>
            <w:r w:rsidRPr="00F62810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>Procedural Requirements</w:t>
            </w:r>
          </w:p>
        </w:tc>
      </w:tr>
      <w:tr w:rsidR="001325D1" w:rsidRPr="00F62810" w14:paraId="47B82631" w14:textId="77777777" w:rsidTr="7731A6EF">
        <w:trPr>
          <w:trHeight w:val="465"/>
        </w:trPr>
        <w:tc>
          <w:tcPr>
            <w:tcW w:w="1006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73B6D28B" w14:textId="772128AD" w:rsidR="001325D1" w:rsidRPr="00F62810" w:rsidRDefault="001325D1" w:rsidP="00144850">
            <w:pPr>
              <w:pStyle w:val="TableParagraph"/>
              <w:numPr>
                <w:ilvl w:val="0"/>
                <w:numId w:val="30"/>
              </w:numPr>
              <w:jc w:val="both"/>
              <w:rPr>
                <w:rFonts w:asciiTheme="minorHAnsi" w:eastAsia="Calibri" w:hAnsiTheme="minorHAnsi" w:cstheme="minorHAnsi"/>
                <w:b/>
                <w:color w:val="FFFFFF" w:themeColor="background1"/>
                <w:sz w:val="20"/>
                <w:szCs w:val="20"/>
                <w:lang w:val="en-AU"/>
              </w:rPr>
            </w:pPr>
            <w:r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Cardboard boxes must not be stored directly on the floor.</w:t>
            </w:r>
          </w:p>
        </w:tc>
      </w:tr>
      <w:tr w:rsidR="0F36DD47" w14:paraId="0A09DF64" w14:textId="77777777" w:rsidTr="7731A6EF">
        <w:trPr>
          <w:trHeight w:val="465"/>
        </w:trPr>
        <w:tc>
          <w:tcPr>
            <w:tcW w:w="1006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61D8A1CE" w14:textId="6555C1F5" w:rsidR="2C9A1BBB" w:rsidRDefault="2C9A1BBB" w:rsidP="00B61ED6">
            <w:pPr>
              <w:pStyle w:val="TableParagraph"/>
              <w:numPr>
                <w:ilvl w:val="0"/>
                <w:numId w:val="30"/>
              </w:numPr>
              <w:jc w:val="both"/>
              <w:rPr>
                <w:rFonts w:asciiTheme="minorHAnsi" w:eastAsia="Calibri" w:hAnsiTheme="minorHAnsi"/>
                <w:color w:val="000000" w:themeColor="text1"/>
                <w:sz w:val="20"/>
                <w:szCs w:val="20"/>
              </w:rPr>
            </w:pPr>
            <w:r w:rsidRPr="0F36DD47">
              <w:rPr>
                <w:rFonts w:asciiTheme="minorHAnsi" w:eastAsia="Times New Roman" w:hAnsiTheme="minorHAnsi" w:cstheme="minorBidi"/>
                <w:sz w:val="20"/>
                <w:szCs w:val="20"/>
                <w:lang w:val="en-AU" w:eastAsia="en-AU"/>
              </w:rPr>
              <w:t xml:space="preserve">PPE worn and used in the facility shall comply with </w:t>
            </w:r>
            <w:r w:rsidRPr="0F36DD47">
              <w:rPr>
                <w:rFonts w:asciiTheme="minorHAnsi" w:eastAsia="Times New Roman" w:hAnsiTheme="minorHAnsi" w:cstheme="minorBidi"/>
                <w:b/>
                <w:bCs/>
                <w:sz w:val="20"/>
                <w:szCs w:val="20"/>
                <w:lang w:val="en-AU" w:eastAsia="en-AU"/>
              </w:rPr>
              <w:t>AS/NZS 2243.3:2022</w:t>
            </w:r>
            <w:r w:rsidRPr="0F36DD47">
              <w:rPr>
                <w:rFonts w:asciiTheme="minorHAnsi" w:eastAsia="Times New Roman" w:hAnsiTheme="minorHAnsi" w:cstheme="minorBidi"/>
                <w:sz w:val="20"/>
                <w:szCs w:val="20"/>
                <w:lang w:val="en-AU" w:eastAsia="en-AU"/>
              </w:rPr>
              <w:t>.</w:t>
            </w:r>
          </w:p>
          <w:p w14:paraId="07DDE411" w14:textId="56FD26FB" w:rsidR="0F36DD47" w:rsidRDefault="0F36DD47" w:rsidP="00A67314">
            <w:pPr>
              <w:pStyle w:val="TableParagraph"/>
              <w:ind w:left="360"/>
              <w:jc w:val="both"/>
              <w:rPr>
                <w:rFonts w:asciiTheme="minorHAnsi" w:eastAsia="Times New Roman" w:hAnsiTheme="minorHAnsi" w:cstheme="minorBidi"/>
                <w:sz w:val="20"/>
                <w:szCs w:val="20"/>
                <w:lang w:val="en-AU" w:eastAsia="en-AU"/>
              </w:rPr>
            </w:pPr>
          </w:p>
        </w:tc>
      </w:tr>
      <w:tr w:rsidR="001325D1" w:rsidRPr="00F62810" w14:paraId="742B00A2" w14:textId="77777777" w:rsidTr="7731A6EF">
        <w:trPr>
          <w:trHeight w:val="465"/>
        </w:trPr>
        <w:tc>
          <w:tcPr>
            <w:tcW w:w="1006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712D5BE3" w14:textId="78B84836" w:rsidR="001325D1" w:rsidRPr="00F62810" w:rsidRDefault="001325D1" w:rsidP="00144850">
            <w:pPr>
              <w:pStyle w:val="TableParagraph"/>
              <w:numPr>
                <w:ilvl w:val="0"/>
                <w:numId w:val="30"/>
              </w:numPr>
              <w:jc w:val="both"/>
              <w:rPr>
                <w:rFonts w:asciiTheme="minorHAnsi" w:eastAsia="Calibri" w:hAnsiTheme="minorHAnsi" w:cstheme="minorBidi"/>
                <w:color w:val="000000"/>
                <w:sz w:val="20"/>
                <w:szCs w:val="20"/>
                <w:lang w:val="en-AU"/>
              </w:rPr>
            </w:pPr>
            <w:r w:rsidRPr="7731A6EF">
              <w:rPr>
                <w:rFonts w:asciiTheme="minorHAnsi" w:eastAsia="Times New Roman" w:hAnsiTheme="minorHAnsi" w:cstheme="minorBidi"/>
                <w:sz w:val="20"/>
                <w:szCs w:val="20"/>
                <w:lang w:val="en-AU" w:eastAsia="en-AU"/>
              </w:rPr>
              <w:t xml:space="preserve">Personnel must </w:t>
            </w:r>
            <w:r w:rsidR="008A2433" w:rsidRPr="7731A6EF">
              <w:rPr>
                <w:rFonts w:asciiTheme="minorHAnsi" w:eastAsia="Times New Roman" w:hAnsiTheme="minorHAnsi" w:cstheme="minorBidi"/>
                <w:sz w:val="20"/>
                <w:szCs w:val="20"/>
                <w:lang w:val="en-AU" w:eastAsia="en-AU"/>
              </w:rPr>
              <w:t xml:space="preserve">remove their </w:t>
            </w:r>
            <w:r w:rsidR="00E4679A">
              <w:rPr>
                <w:rFonts w:asciiTheme="minorHAnsi" w:eastAsia="Times New Roman" w:hAnsiTheme="minorHAnsi" w:cstheme="minorBidi"/>
                <w:sz w:val="20"/>
                <w:szCs w:val="20"/>
                <w:lang w:val="en-AU" w:eastAsia="en-AU"/>
              </w:rPr>
              <w:t>PPE</w:t>
            </w:r>
            <w:r w:rsidR="008A2433" w:rsidRPr="7731A6EF">
              <w:rPr>
                <w:rFonts w:asciiTheme="minorHAnsi" w:eastAsia="Times New Roman" w:hAnsiTheme="minorHAnsi" w:cstheme="minorBidi"/>
                <w:sz w:val="20"/>
                <w:szCs w:val="20"/>
                <w:lang w:val="en-AU" w:eastAsia="en-AU"/>
              </w:rPr>
              <w:t xml:space="preserve"> and </w:t>
            </w:r>
            <w:r w:rsidRPr="7731A6EF">
              <w:rPr>
                <w:rFonts w:asciiTheme="minorHAnsi" w:eastAsia="Times New Roman" w:hAnsiTheme="minorHAnsi" w:cstheme="minorBidi"/>
                <w:sz w:val="20"/>
                <w:szCs w:val="20"/>
                <w:lang w:val="en-AU" w:eastAsia="en-AU"/>
              </w:rPr>
              <w:t>decontaminate their hands before leaving the facility.</w:t>
            </w:r>
          </w:p>
        </w:tc>
      </w:tr>
      <w:tr w:rsidR="0F36DD47" w14:paraId="3DCBB495" w14:textId="77777777" w:rsidTr="7731A6EF">
        <w:trPr>
          <w:trHeight w:val="465"/>
        </w:trPr>
        <w:tc>
          <w:tcPr>
            <w:tcW w:w="1006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09C4B2F9" w14:textId="1A987BAB" w:rsidR="73396795" w:rsidRDefault="73396795" w:rsidP="00B61ED6">
            <w:pPr>
              <w:pStyle w:val="TableParagraph"/>
              <w:numPr>
                <w:ilvl w:val="0"/>
                <w:numId w:val="30"/>
              </w:numPr>
              <w:jc w:val="both"/>
              <w:rPr>
                <w:rFonts w:asciiTheme="minorHAnsi" w:eastAsia="Times New Roman" w:hAnsiTheme="minorHAnsi"/>
                <w:sz w:val="20"/>
                <w:szCs w:val="20"/>
                <w:lang w:eastAsia="en-AU"/>
              </w:rPr>
            </w:pPr>
            <w:r w:rsidRPr="7731A6EF">
              <w:rPr>
                <w:rFonts w:asciiTheme="minorHAnsi" w:eastAsia="Times New Roman" w:hAnsiTheme="minorHAnsi" w:cstheme="minorBidi"/>
                <w:sz w:val="20"/>
                <w:szCs w:val="20"/>
                <w:lang w:val="en-AU" w:eastAsia="en-AU"/>
              </w:rPr>
              <w:t xml:space="preserve">Used PPE must be kept segregated from unused and </w:t>
            </w:r>
            <w:r w:rsidR="45C3D245" w:rsidRPr="7731A6EF">
              <w:rPr>
                <w:rFonts w:asciiTheme="minorHAnsi" w:eastAsia="Times New Roman" w:hAnsiTheme="minorHAnsi" w:cstheme="minorBidi"/>
                <w:sz w:val="20"/>
                <w:szCs w:val="20"/>
                <w:lang w:val="en-AU" w:eastAsia="en-AU"/>
              </w:rPr>
              <w:t>decontaminated</w:t>
            </w:r>
            <w:r w:rsidR="1332DBAF" w:rsidRPr="7731A6EF">
              <w:rPr>
                <w:rFonts w:asciiTheme="minorHAnsi" w:eastAsia="Times New Roman" w:hAnsiTheme="minorHAnsi" w:cstheme="minorBidi"/>
                <w:sz w:val="20"/>
                <w:szCs w:val="20"/>
                <w:lang w:val="en-AU" w:eastAsia="en-AU"/>
              </w:rPr>
              <w:t xml:space="preserve"> PPE.</w:t>
            </w:r>
          </w:p>
        </w:tc>
      </w:tr>
      <w:tr w:rsidR="001325D1" w:rsidRPr="00F62810" w14:paraId="24E4EC33" w14:textId="77777777" w:rsidTr="7731A6EF">
        <w:trPr>
          <w:trHeight w:val="465"/>
        </w:trPr>
        <w:tc>
          <w:tcPr>
            <w:tcW w:w="1006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72E70CDA" w14:textId="54E34A71" w:rsidR="001325D1" w:rsidRPr="00F62810" w:rsidRDefault="001325D1" w:rsidP="00144850">
            <w:pPr>
              <w:pStyle w:val="TableParagraph"/>
              <w:numPr>
                <w:ilvl w:val="0"/>
                <w:numId w:val="30"/>
              </w:numPr>
              <w:jc w:val="both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AU"/>
              </w:rPr>
            </w:pPr>
            <w:r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 xml:space="preserve">Chemicals, including gases and gas cylinders, must be stored in accordance with the requirements of the University OHS Unit and </w:t>
            </w:r>
            <w:r w:rsidR="00D24274" w:rsidRPr="00F62810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relevant Australian Standards.</w:t>
            </w:r>
          </w:p>
        </w:tc>
      </w:tr>
      <w:tr w:rsidR="001325D1" w:rsidRPr="00F62810" w14:paraId="304A5724" w14:textId="77777777" w:rsidTr="7731A6EF">
        <w:trPr>
          <w:trHeight w:val="465"/>
        </w:trPr>
        <w:tc>
          <w:tcPr>
            <w:tcW w:w="1006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095F83A7" w14:textId="2F10068C" w:rsidR="001325D1" w:rsidRPr="00F62810" w:rsidRDefault="001325D1" w:rsidP="00144850">
            <w:pPr>
              <w:pStyle w:val="TableParagraph"/>
              <w:numPr>
                <w:ilvl w:val="0"/>
                <w:numId w:val="30"/>
              </w:numPr>
              <w:jc w:val="both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AU"/>
              </w:rPr>
            </w:pPr>
            <w:r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Wastes (solid and liquid) must be properly labelled and safely stored temporarily until they are removed for disposal.</w:t>
            </w:r>
          </w:p>
        </w:tc>
      </w:tr>
      <w:tr w:rsidR="001325D1" w:rsidRPr="00F62810" w14:paraId="7C5DC98A" w14:textId="77777777" w:rsidTr="7731A6EF">
        <w:trPr>
          <w:trHeight w:val="465"/>
        </w:trPr>
        <w:tc>
          <w:tcPr>
            <w:tcW w:w="1006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57B2AB2D" w14:textId="6FC77647" w:rsidR="001325D1" w:rsidRPr="00F62810" w:rsidRDefault="001325D1" w:rsidP="00144850">
            <w:pPr>
              <w:pStyle w:val="TableParagraph"/>
              <w:numPr>
                <w:ilvl w:val="0"/>
                <w:numId w:val="30"/>
              </w:numPr>
              <w:jc w:val="both"/>
              <w:rPr>
                <w:rFonts w:asciiTheme="minorHAnsi" w:eastAsia="Calibri" w:hAnsiTheme="minorHAnsi" w:cstheme="minorBidi"/>
                <w:color w:val="000000"/>
                <w:sz w:val="20"/>
                <w:szCs w:val="20"/>
                <w:lang w:val="en-AU"/>
              </w:rPr>
            </w:pPr>
            <w:r w:rsidRPr="7731A6EF">
              <w:rPr>
                <w:rFonts w:asciiTheme="minorHAnsi" w:eastAsia="Times New Roman" w:hAnsiTheme="minorHAnsi" w:cstheme="minorBidi"/>
                <w:sz w:val="20"/>
                <w:szCs w:val="20"/>
                <w:lang w:val="en-AU" w:eastAsia="en-AU"/>
              </w:rPr>
              <w:t xml:space="preserve">Food and drink must not be stored in the </w:t>
            </w:r>
            <w:r w:rsidR="00254FA5" w:rsidRPr="7731A6EF">
              <w:rPr>
                <w:rFonts w:asciiTheme="minorHAnsi" w:eastAsia="Times New Roman" w:hAnsiTheme="minorHAnsi" w:cstheme="minorBidi"/>
                <w:sz w:val="20"/>
                <w:szCs w:val="20"/>
                <w:lang w:val="en-AU" w:eastAsia="en-AU"/>
              </w:rPr>
              <w:t>facility</w:t>
            </w:r>
            <w:r w:rsidRPr="7731A6EF">
              <w:rPr>
                <w:rFonts w:asciiTheme="minorHAnsi" w:eastAsia="Times New Roman" w:hAnsiTheme="minorHAnsi" w:cstheme="minorBidi"/>
                <w:sz w:val="20"/>
                <w:szCs w:val="20"/>
                <w:lang w:val="en-AU" w:eastAsia="en-AU"/>
              </w:rPr>
              <w:t>.</w:t>
            </w:r>
          </w:p>
        </w:tc>
      </w:tr>
      <w:tr w:rsidR="001325D1" w:rsidRPr="00F62810" w14:paraId="5FBAF116" w14:textId="77777777" w:rsidTr="7731A6EF">
        <w:trPr>
          <w:trHeight w:val="465"/>
        </w:trPr>
        <w:tc>
          <w:tcPr>
            <w:tcW w:w="1006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51DB28D9" w14:textId="194ED333" w:rsidR="001325D1" w:rsidRPr="00F62810" w:rsidRDefault="001325D1" w:rsidP="00144850">
            <w:pPr>
              <w:pStyle w:val="TableParagraph"/>
              <w:numPr>
                <w:ilvl w:val="0"/>
                <w:numId w:val="30"/>
              </w:numPr>
              <w:jc w:val="both"/>
              <w:rPr>
                <w:rFonts w:asciiTheme="minorHAnsi" w:eastAsia="Times New Roman" w:hAnsiTheme="minorHAnsi" w:cstheme="minorBidi"/>
                <w:sz w:val="20"/>
                <w:szCs w:val="20"/>
                <w:lang w:eastAsia="en-AU"/>
              </w:rPr>
            </w:pPr>
            <w:r w:rsidRPr="0F36DD47">
              <w:rPr>
                <w:rFonts w:asciiTheme="minorHAnsi" w:eastAsia="Times New Roman" w:hAnsiTheme="minorHAnsi" w:cstheme="minorBidi"/>
                <w:sz w:val="20"/>
                <w:szCs w:val="20"/>
                <w:lang w:eastAsia="en-AU"/>
              </w:rPr>
              <w:lastRenderedPageBreak/>
              <w:t xml:space="preserve">No eating, drinking, shaving, or application of cosmetics </w:t>
            </w:r>
            <w:r w:rsidR="14C964D6" w:rsidRPr="0F36DD47">
              <w:rPr>
                <w:rFonts w:asciiTheme="minorHAnsi" w:eastAsia="Times New Roman" w:hAnsiTheme="minorHAnsi" w:cstheme="minorBidi"/>
                <w:sz w:val="20"/>
                <w:szCs w:val="20"/>
                <w:lang w:eastAsia="en-AU"/>
              </w:rPr>
              <w:t xml:space="preserve">including the handling of contact lenses </w:t>
            </w:r>
            <w:r w:rsidRPr="0F36DD47">
              <w:rPr>
                <w:rFonts w:asciiTheme="minorHAnsi" w:eastAsia="Times New Roman" w:hAnsiTheme="minorHAnsi" w:cstheme="minorBidi"/>
                <w:sz w:val="20"/>
                <w:szCs w:val="20"/>
                <w:lang w:eastAsia="en-AU"/>
              </w:rPr>
              <w:t xml:space="preserve">is permitted in the </w:t>
            </w:r>
            <w:r w:rsidR="00254FA5" w:rsidRPr="0F36DD47">
              <w:rPr>
                <w:rFonts w:asciiTheme="minorHAnsi" w:eastAsia="Times New Roman" w:hAnsiTheme="minorHAnsi" w:cstheme="minorBidi"/>
                <w:sz w:val="20"/>
                <w:szCs w:val="20"/>
                <w:lang w:eastAsia="en-AU"/>
              </w:rPr>
              <w:t>facility</w:t>
            </w:r>
            <w:r w:rsidRPr="0F36DD47">
              <w:rPr>
                <w:rFonts w:asciiTheme="minorHAnsi" w:eastAsia="Times New Roman" w:hAnsiTheme="minorHAnsi" w:cstheme="minorBidi"/>
                <w:sz w:val="20"/>
                <w:szCs w:val="20"/>
                <w:lang w:eastAsia="en-AU"/>
              </w:rPr>
              <w:t>.</w:t>
            </w:r>
            <w:r w:rsidR="2A98BA5C" w:rsidRPr="0F36DD47">
              <w:rPr>
                <w:rFonts w:asciiTheme="minorHAnsi" w:eastAsia="Times New Roman" w:hAnsiTheme="minorHAnsi" w:cstheme="minorBidi"/>
                <w:sz w:val="20"/>
                <w:szCs w:val="20"/>
                <w:lang w:eastAsia="en-AU"/>
              </w:rPr>
              <w:t xml:space="preserve">  (This includes the chewing of gum and </w:t>
            </w:r>
            <w:r w:rsidR="6D34F4EE" w:rsidRPr="0F36DD47">
              <w:rPr>
                <w:rFonts w:asciiTheme="minorHAnsi" w:eastAsia="Times New Roman" w:hAnsiTheme="minorHAnsi" w:cstheme="minorBidi"/>
                <w:sz w:val="20"/>
                <w:szCs w:val="20"/>
                <w:lang w:eastAsia="en-AU"/>
              </w:rPr>
              <w:t>inserting</w:t>
            </w:r>
            <w:r w:rsidR="2A98BA5C" w:rsidRPr="0F36DD47">
              <w:rPr>
                <w:rFonts w:asciiTheme="minorHAnsi" w:eastAsia="Times New Roman" w:hAnsiTheme="minorHAnsi" w:cstheme="minorBidi"/>
                <w:sz w:val="20"/>
                <w:szCs w:val="20"/>
                <w:lang w:eastAsia="en-AU"/>
              </w:rPr>
              <w:t xml:space="preserve"> items</w:t>
            </w:r>
            <w:r w:rsidR="0073074D">
              <w:rPr>
                <w:rFonts w:asciiTheme="minorHAnsi" w:eastAsia="Times New Roman" w:hAnsiTheme="minorHAnsi" w:cstheme="minorBidi"/>
                <w:sz w:val="20"/>
                <w:szCs w:val="20"/>
                <w:lang w:eastAsia="en-AU"/>
              </w:rPr>
              <w:t>,</w:t>
            </w:r>
            <w:r w:rsidR="2A98BA5C" w:rsidRPr="0F36DD47">
              <w:rPr>
                <w:rFonts w:asciiTheme="minorHAnsi" w:eastAsia="Times New Roman" w:hAnsiTheme="minorHAnsi" w:cstheme="minorBidi"/>
                <w:sz w:val="20"/>
                <w:szCs w:val="20"/>
                <w:lang w:eastAsia="en-AU"/>
              </w:rPr>
              <w:t xml:space="preserve"> such as fingers and pens</w:t>
            </w:r>
            <w:r w:rsidR="0073074D">
              <w:rPr>
                <w:rFonts w:asciiTheme="minorHAnsi" w:eastAsia="Times New Roman" w:hAnsiTheme="minorHAnsi" w:cstheme="minorBidi"/>
                <w:sz w:val="20"/>
                <w:szCs w:val="20"/>
                <w:lang w:eastAsia="en-AU"/>
              </w:rPr>
              <w:t>,</w:t>
            </w:r>
            <w:r w:rsidR="2A98BA5C" w:rsidRPr="0F36DD47">
              <w:rPr>
                <w:rFonts w:asciiTheme="minorHAnsi" w:eastAsia="Times New Roman" w:hAnsiTheme="minorHAnsi" w:cstheme="minorBidi"/>
                <w:sz w:val="20"/>
                <w:szCs w:val="20"/>
                <w:lang w:eastAsia="en-AU"/>
              </w:rPr>
              <w:t xml:space="preserve"> in the mouth).</w:t>
            </w:r>
          </w:p>
        </w:tc>
      </w:tr>
      <w:tr w:rsidR="001325D1" w:rsidRPr="00F62810" w14:paraId="333DA925" w14:textId="77777777" w:rsidTr="7731A6EF">
        <w:trPr>
          <w:trHeight w:val="465"/>
        </w:trPr>
        <w:tc>
          <w:tcPr>
            <w:tcW w:w="1006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527024B9" w14:textId="1C78755A" w:rsidR="001325D1" w:rsidRPr="00F62810" w:rsidRDefault="001325D1" w:rsidP="00144850">
            <w:pPr>
              <w:pStyle w:val="TableParagraph"/>
              <w:numPr>
                <w:ilvl w:val="0"/>
                <w:numId w:val="30"/>
              </w:numPr>
              <w:jc w:val="both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AU"/>
              </w:rPr>
            </w:pPr>
            <w:r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Documented identification of work hazards, risk assessments, and control measures must be in place.</w:t>
            </w:r>
          </w:p>
        </w:tc>
      </w:tr>
      <w:tr w:rsidR="001325D1" w:rsidRPr="00F62810" w14:paraId="1C1FA484" w14:textId="77777777" w:rsidTr="7731A6EF">
        <w:trPr>
          <w:trHeight w:val="465"/>
        </w:trPr>
        <w:tc>
          <w:tcPr>
            <w:tcW w:w="1006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0338263D" w14:textId="43FF25D9" w:rsidR="001325D1" w:rsidRPr="00F62810" w:rsidRDefault="001325D1" w:rsidP="00144850">
            <w:pPr>
              <w:pStyle w:val="TableParagraph"/>
              <w:numPr>
                <w:ilvl w:val="0"/>
                <w:numId w:val="30"/>
              </w:numPr>
              <w:jc w:val="both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AU"/>
              </w:rPr>
            </w:pPr>
            <w:r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Training records against relevant Standard Operating Procedures (SOPs) must be maintained for all personnel authori</w:t>
            </w:r>
            <w:r w:rsidR="00E543BC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s</w:t>
            </w:r>
            <w:r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 xml:space="preserve">ed to work in the </w:t>
            </w:r>
            <w:r w:rsidR="00E543BC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facility</w:t>
            </w:r>
            <w:r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.</w:t>
            </w:r>
          </w:p>
        </w:tc>
      </w:tr>
      <w:tr w:rsidR="001325D1" w:rsidRPr="00F62810" w14:paraId="4FD8A947" w14:textId="77777777" w:rsidTr="7731A6EF">
        <w:trPr>
          <w:trHeight w:val="465"/>
        </w:trPr>
        <w:tc>
          <w:tcPr>
            <w:tcW w:w="1006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529C438F" w14:textId="4C09C613" w:rsidR="001325D1" w:rsidRPr="00F62810" w:rsidRDefault="001325D1" w:rsidP="00144850">
            <w:pPr>
              <w:pStyle w:val="TableParagraph"/>
              <w:numPr>
                <w:ilvl w:val="0"/>
                <w:numId w:val="30"/>
              </w:numPr>
              <w:jc w:val="both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AU"/>
              </w:rPr>
            </w:pPr>
            <w:r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Mouth pipetting is strictly prohibited.</w:t>
            </w:r>
          </w:p>
        </w:tc>
      </w:tr>
      <w:tr w:rsidR="001325D1" w:rsidRPr="00F62810" w14:paraId="47B001EF" w14:textId="77777777" w:rsidTr="7731A6EF">
        <w:trPr>
          <w:trHeight w:val="465"/>
        </w:trPr>
        <w:tc>
          <w:tcPr>
            <w:tcW w:w="1006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2D5C442B" w14:textId="2E00AC6E" w:rsidR="001325D1" w:rsidRPr="00F62810" w:rsidRDefault="001325D1" w:rsidP="00144850">
            <w:pPr>
              <w:pStyle w:val="TableParagraph"/>
              <w:numPr>
                <w:ilvl w:val="0"/>
                <w:numId w:val="30"/>
              </w:numPr>
              <w:jc w:val="both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AU"/>
              </w:rPr>
            </w:pPr>
            <w:r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 xml:space="preserve">Always use a fume cupboard appropriate to the risk assessment of any work with toxic, volatile, corrosive, or </w:t>
            </w:r>
            <w:proofErr w:type="spellStart"/>
            <w:r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odiferous</w:t>
            </w:r>
            <w:proofErr w:type="spellEnd"/>
            <w:r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 xml:space="preserve"> substances.</w:t>
            </w:r>
          </w:p>
        </w:tc>
      </w:tr>
      <w:tr w:rsidR="001325D1" w:rsidRPr="00F62810" w14:paraId="3F49BF99" w14:textId="77777777" w:rsidTr="7731A6EF">
        <w:trPr>
          <w:trHeight w:val="465"/>
        </w:trPr>
        <w:tc>
          <w:tcPr>
            <w:tcW w:w="1006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2CBBE4EA" w14:textId="1A3B00F3" w:rsidR="001325D1" w:rsidRPr="00F62810" w:rsidRDefault="001325D1" w:rsidP="00144850">
            <w:pPr>
              <w:pStyle w:val="TableParagraph"/>
              <w:numPr>
                <w:ilvl w:val="0"/>
                <w:numId w:val="30"/>
              </w:numPr>
              <w:jc w:val="both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AU"/>
              </w:rPr>
            </w:pPr>
            <w:r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 xml:space="preserve">All microbiological waste shall be disposed of in accordance with </w:t>
            </w:r>
            <w:r w:rsidRPr="00AD418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AU" w:eastAsia="en-AU"/>
              </w:rPr>
              <w:t>AS/NZS 2243.3:2022</w:t>
            </w:r>
            <w:r w:rsidR="00CB17A3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.</w:t>
            </w:r>
          </w:p>
        </w:tc>
      </w:tr>
      <w:tr w:rsidR="0F36DD47" w14:paraId="669E0FF0" w14:textId="77777777" w:rsidTr="7731A6EF">
        <w:trPr>
          <w:trHeight w:val="465"/>
        </w:trPr>
        <w:tc>
          <w:tcPr>
            <w:tcW w:w="1006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5D64C81E" w14:textId="625403FA" w:rsidR="245D084C" w:rsidRDefault="245D084C" w:rsidP="00B61ED6">
            <w:pPr>
              <w:pStyle w:val="TableParagraph"/>
              <w:numPr>
                <w:ilvl w:val="0"/>
                <w:numId w:val="30"/>
              </w:numPr>
              <w:jc w:val="both"/>
              <w:rPr>
                <w:rFonts w:asciiTheme="minorHAnsi" w:eastAsia="Times New Roman" w:hAnsiTheme="minorHAnsi"/>
                <w:sz w:val="20"/>
                <w:szCs w:val="20"/>
                <w:lang w:eastAsia="en-AU"/>
              </w:rPr>
            </w:pPr>
            <w:r w:rsidRPr="0F36DD47">
              <w:rPr>
                <w:rFonts w:asciiTheme="minorHAnsi" w:eastAsia="Times New Roman" w:hAnsiTheme="minorHAnsi" w:cstheme="minorBidi"/>
                <w:sz w:val="20"/>
                <w:szCs w:val="20"/>
                <w:lang w:val="en-AU" w:eastAsia="en-AU"/>
              </w:rPr>
              <w:t xml:space="preserve">Personal devices shall not be used in locations where they could become contaminated.  This includes </w:t>
            </w:r>
            <w:r w:rsidR="00755B54" w:rsidRPr="0F36DD47">
              <w:rPr>
                <w:rFonts w:asciiTheme="minorHAnsi" w:eastAsia="Times New Roman" w:hAnsiTheme="minorHAnsi" w:cstheme="minorBidi"/>
                <w:sz w:val="20"/>
                <w:szCs w:val="20"/>
                <w:lang w:val="en-AU" w:eastAsia="en-AU"/>
              </w:rPr>
              <w:t>mobile phones</w:t>
            </w:r>
            <w:r w:rsidR="00755B54">
              <w:rPr>
                <w:rFonts w:asciiTheme="minorHAnsi" w:eastAsia="Times New Roman" w:hAnsiTheme="minorHAnsi" w:cstheme="minorBidi"/>
                <w:sz w:val="20"/>
                <w:szCs w:val="20"/>
                <w:lang w:val="en-AU" w:eastAsia="en-AU"/>
              </w:rPr>
              <w:t>,</w:t>
            </w:r>
            <w:r w:rsidR="00755B54" w:rsidRPr="0F36DD47">
              <w:rPr>
                <w:rFonts w:asciiTheme="minorHAnsi" w:eastAsia="Times New Roman" w:hAnsiTheme="minorHAnsi" w:cstheme="minorBidi"/>
                <w:sz w:val="20"/>
                <w:szCs w:val="20"/>
                <w:lang w:val="en-AU" w:eastAsia="en-AU"/>
              </w:rPr>
              <w:t xml:space="preserve"> </w:t>
            </w:r>
            <w:r w:rsidRPr="0F36DD47">
              <w:rPr>
                <w:rFonts w:asciiTheme="minorHAnsi" w:eastAsia="Times New Roman" w:hAnsiTheme="minorHAnsi" w:cstheme="minorBidi"/>
                <w:sz w:val="20"/>
                <w:szCs w:val="20"/>
                <w:lang w:val="en-AU" w:eastAsia="en-AU"/>
              </w:rPr>
              <w:t xml:space="preserve">personal </w:t>
            </w:r>
            <w:proofErr w:type="gramStart"/>
            <w:r w:rsidRPr="0F36DD47">
              <w:rPr>
                <w:rFonts w:asciiTheme="minorHAnsi" w:eastAsia="Times New Roman" w:hAnsiTheme="minorHAnsi" w:cstheme="minorBidi"/>
                <w:sz w:val="20"/>
                <w:szCs w:val="20"/>
                <w:lang w:val="en-AU" w:eastAsia="en-AU"/>
              </w:rPr>
              <w:t>earphones</w:t>
            </w:r>
            <w:proofErr w:type="gramEnd"/>
            <w:r w:rsidRPr="0F36DD47">
              <w:rPr>
                <w:rFonts w:asciiTheme="minorHAnsi" w:eastAsia="Times New Roman" w:hAnsiTheme="minorHAnsi" w:cstheme="minorBidi"/>
                <w:sz w:val="20"/>
                <w:szCs w:val="20"/>
                <w:lang w:val="en-AU" w:eastAsia="en-AU"/>
              </w:rPr>
              <w:t xml:space="preserve"> and earplugs.</w:t>
            </w:r>
          </w:p>
        </w:tc>
      </w:tr>
      <w:tr w:rsidR="0F36DD47" w14:paraId="77CB2334" w14:textId="77777777" w:rsidTr="7731A6EF">
        <w:trPr>
          <w:trHeight w:val="465"/>
        </w:trPr>
        <w:tc>
          <w:tcPr>
            <w:tcW w:w="1006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640980F3" w14:textId="5797ADBC" w:rsidR="6DC86B4F" w:rsidRDefault="6DC86B4F" w:rsidP="00B61ED6">
            <w:pPr>
              <w:pStyle w:val="TableParagraph"/>
              <w:numPr>
                <w:ilvl w:val="0"/>
                <w:numId w:val="30"/>
              </w:numPr>
              <w:jc w:val="both"/>
              <w:rPr>
                <w:rFonts w:asciiTheme="minorHAnsi" w:eastAsia="Times New Roman" w:hAnsiTheme="minorHAnsi"/>
                <w:sz w:val="20"/>
                <w:szCs w:val="20"/>
                <w:lang w:eastAsia="en-AU"/>
              </w:rPr>
            </w:pPr>
            <w:r w:rsidRPr="0F36DD47">
              <w:rPr>
                <w:rFonts w:asciiTheme="minorHAnsi" w:eastAsia="Times New Roman" w:hAnsiTheme="minorHAnsi" w:cstheme="minorBidi"/>
                <w:sz w:val="20"/>
                <w:szCs w:val="20"/>
                <w:lang w:val="en-AU" w:eastAsia="en-AU"/>
              </w:rPr>
              <w:t>Where contamination of personal devices occurs or is suspected, decontaminated shall take place prior to removal of the device from the laboratory.</w:t>
            </w:r>
          </w:p>
        </w:tc>
      </w:tr>
      <w:tr w:rsidR="00144850" w:rsidRPr="00F62810" w14:paraId="0E200B5B" w14:textId="77777777" w:rsidTr="7731A6EF">
        <w:trPr>
          <w:trHeight w:val="113"/>
        </w:trPr>
        <w:tc>
          <w:tcPr>
            <w:tcW w:w="10065" w:type="dxa"/>
            <w:tcBorders>
              <w:top w:val="single" w:sz="4" w:space="0" w:color="000000" w:themeColor="text1"/>
              <w:left w:val="single" w:sz="4" w:space="0" w:color="F2F2F2" w:themeColor="background2" w:themeShade="F2"/>
              <w:bottom w:val="single" w:sz="4" w:space="0" w:color="000000" w:themeColor="text1"/>
              <w:right w:val="single" w:sz="4" w:space="0" w:color="F2F2F2" w:themeColor="background2" w:themeShade="F2"/>
            </w:tcBorders>
            <w:shd w:val="clear" w:color="auto" w:fill="F2F2F2" w:themeFill="background2" w:themeFillShade="F2"/>
            <w:vAlign w:val="center"/>
          </w:tcPr>
          <w:p w14:paraId="6F2F3A58" w14:textId="77777777" w:rsidR="00144850" w:rsidRPr="00115B71" w:rsidRDefault="00144850" w:rsidP="00144850">
            <w:pPr>
              <w:pStyle w:val="Heading4"/>
              <w:jc w:val="center"/>
              <w:rPr>
                <w:color w:val="auto"/>
              </w:rPr>
            </w:pPr>
            <w:r w:rsidRPr="00115B71">
              <w:rPr>
                <w:color w:val="auto"/>
              </w:rPr>
              <w:t>PHYSICAL CONTAINMENT LEVEL 1 (PC1) REQUIREMENTS</w:t>
            </w:r>
          </w:p>
          <w:p w14:paraId="65BD04F3" w14:textId="78FB322D" w:rsidR="00144850" w:rsidRPr="00115B71" w:rsidRDefault="00144850" w:rsidP="00144850">
            <w:pPr>
              <w:pStyle w:val="Heading4"/>
              <w:jc w:val="center"/>
              <w:rPr>
                <w:color w:val="auto"/>
              </w:rPr>
            </w:pPr>
            <w:r w:rsidRPr="00115B71">
              <w:rPr>
                <w:color w:val="auto"/>
              </w:rPr>
              <w:t xml:space="preserve">Requirements 1 - </w:t>
            </w:r>
            <w:r w:rsidR="00664406" w:rsidRPr="00115B71">
              <w:rPr>
                <w:color w:val="auto"/>
              </w:rPr>
              <w:t>4</w:t>
            </w:r>
            <w:r w:rsidR="00A67314">
              <w:rPr>
                <w:color w:val="auto"/>
              </w:rPr>
              <w:t>6</w:t>
            </w:r>
            <w:r w:rsidRPr="00115B71">
              <w:rPr>
                <w:color w:val="auto"/>
              </w:rPr>
              <w:t xml:space="preserve"> apply</w:t>
            </w:r>
          </w:p>
          <w:p w14:paraId="46348574" w14:textId="13070055" w:rsidR="00144850" w:rsidRDefault="00D24274" w:rsidP="007C7CBE">
            <w:pPr>
              <w:pStyle w:val="TableParagraph"/>
              <w:spacing w:before="120" w:after="120" w:line="264" w:lineRule="auto"/>
              <w:ind w:left="0"/>
              <w:jc w:val="both"/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</w:pPr>
            <w:r w:rsidRPr="00F62810"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  <w:t>PC1 Requirements provide protocols for handling low-risk biological agents</w:t>
            </w:r>
            <w:r w:rsidR="00F46092"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  <w:t xml:space="preserve"> (Risk-Group 1)</w:t>
            </w:r>
            <w:r w:rsidRPr="00F62810"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  <w:t xml:space="preserve"> that pose minimal threat to human health or the environment. These guidelines emphasi</w:t>
            </w:r>
            <w:r w:rsidR="00A2084B"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  <w:t>s</w:t>
            </w:r>
            <w:r w:rsidRPr="00F62810"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  <w:t xml:space="preserve">e access control, proper waste segregation, and regular decontamination of surfaces. Typical agents include non-infectious strains of </w:t>
            </w:r>
            <w:r w:rsidRPr="00F62810">
              <w:rPr>
                <w:rFonts w:ascii="Arial" w:eastAsia="Calibri" w:hAnsi="Arial" w:cs="Arial"/>
                <w:bCs/>
                <w:i/>
                <w:iCs/>
                <w:color w:val="000000" w:themeColor="text1"/>
                <w:sz w:val="20"/>
                <w:szCs w:val="20"/>
                <w:lang w:val="en-AU"/>
              </w:rPr>
              <w:t>E. coli</w:t>
            </w:r>
            <w:r w:rsidRPr="00F62810"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  <w:t xml:space="preserve"> and fungi, which are used for teaching and research in educational or general laboratory settings.</w:t>
            </w:r>
          </w:p>
          <w:p w14:paraId="7E9DFDD7" w14:textId="075530DE" w:rsidR="00611DF0" w:rsidRPr="00F62810" w:rsidRDefault="00611DF0" w:rsidP="00115B71">
            <w:pPr>
              <w:pStyle w:val="TableParagraph"/>
              <w:spacing w:before="120" w:after="120" w:line="264" w:lineRule="auto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AU"/>
              </w:rPr>
            </w:pPr>
            <w:r w:rsidRPr="00115B71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>NB:</w:t>
            </w:r>
            <w:r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  <w:t xml:space="preserve"> Points 2</w:t>
            </w:r>
            <w:r w:rsidR="00A67314"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  <w:t>9</w:t>
            </w:r>
            <w:r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  <w:t xml:space="preserve">, </w:t>
            </w:r>
            <w:r w:rsidR="00A67314"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  <w:t>30</w:t>
            </w:r>
            <w:r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  <w:t>, 4</w:t>
            </w:r>
            <w:r w:rsidR="00A67314"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  <w:t>5</w:t>
            </w:r>
            <w:r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  <w:t xml:space="preserve"> and 4</w:t>
            </w:r>
            <w:r w:rsidR="00A67314"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  <w:t>6</w:t>
            </w:r>
            <w:r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  <w:t xml:space="preserve"> only apply to the relevant facility types.</w:t>
            </w:r>
          </w:p>
        </w:tc>
      </w:tr>
      <w:tr w:rsidR="00144850" w:rsidRPr="00F62810" w14:paraId="6FDCE97F" w14:textId="77777777" w:rsidTr="7731A6EF">
        <w:trPr>
          <w:trHeight w:val="113"/>
        </w:trPr>
        <w:tc>
          <w:tcPr>
            <w:tcW w:w="10065" w:type="dxa"/>
            <w:tcBorders>
              <w:top w:val="single" w:sz="4" w:space="0" w:color="000000" w:themeColor="text1"/>
              <w:left w:val="single" w:sz="4" w:space="0" w:color="F2F2F2" w:themeColor="background2" w:themeShade="F2"/>
              <w:bottom w:val="single" w:sz="4" w:space="0" w:color="000000" w:themeColor="text1"/>
              <w:right w:val="single" w:sz="4" w:space="0" w:color="F2F2F2" w:themeColor="background2" w:themeShade="F2"/>
            </w:tcBorders>
            <w:shd w:val="clear" w:color="auto" w:fill="BFBFBF" w:themeFill="background2" w:themeFillShade="BF"/>
          </w:tcPr>
          <w:p w14:paraId="24BC88E8" w14:textId="1F73C0CF" w:rsidR="00144850" w:rsidRPr="00F62810" w:rsidRDefault="00144850" w:rsidP="00144850">
            <w:pPr>
              <w:pStyle w:val="TableParagraph"/>
              <w:ind w:left="0"/>
              <w:jc w:val="center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</w:pPr>
            <w:r w:rsidRPr="00F62810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>Structural Requirements</w:t>
            </w:r>
          </w:p>
        </w:tc>
      </w:tr>
      <w:tr w:rsidR="00144850" w:rsidRPr="00F62810" w14:paraId="540594AD" w14:textId="77777777" w:rsidTr="7731A6EF">
        <w:trPr>
          <w:trHeight w:val="465"/>
        </w:trPr>
        <w:tc>
          <w:tcPr>
            <w:tcW w:w="1006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7E606B69" w14:textId="563A9BEF" w:rsidR="00144850" w:rsidRPr="00F62810" w:rsidRDefault="00144850" w:rsidP="3E847DA6">
            <w:pPr>
              <w:pStyle w:val="TableParagraph"/>
              <w:numPr>
                <w:ilvl w:val="0"/>
                <w:numId w:val="30"/>
              </w:numPr>
              <w:jc w:val="both"/>
              <w:rPr>
                <w:rFonts w:asciiTheme="minorHAnsi" w:eastAsia="Calibri" w:hAnsiTheme="minorHAnsi" w:cstheme="minorBidi"/>
                <w:color w:val="000000"/>
                <w:sz w:val="20"/>
                <w:szCs w:val="20"/>
                <w:lang w:val="en-AU"/>
              </w:rPr>
            </w:pPr>
            <w:r w:rsidRPr="3E847DA6">
              <w:rPr>
                <w:rFonts w:asciiTheme="minorHAnsi" w:eastAsia="Times New Roman" w:hAnsiTheme="minorHAnsi" w:cstheme="minorBidi"/>
                <w:sz w:val="20"/>
                <w:szCs w:val="20"/>
                <w:lang w:val="en-AU" w:eastAsia="en-AU"/>
              </w:rPr>
              <w:t xml:space="preserve">Each access door to the facility must display a </w:t>
            </w:r>
            <w:r w:rsidRPr="3E847DA6">
              <w:rPr>
                <w:rFonts w:asciiTheme="minorHAnsi" w:eastAsia="Times New Roman" w:hAnsiTheme="minorHAnsi" w:cstheme="minorBidi"/>
                <w:b/>
                <w:bCs/>
                <w:sz w:val="20"/>
                <w:szCs w:val="20"/>
                <w:lang w:val="en-AU" w:eastAsia="en-AU"/>
              </w:rPr>
              <w:t>PC1 sign</w:t>
            </w:r>
            <w:r w:rsidR="00EE128B" w:rsidRPr="3E847DA6">
              <w:rPr>
                <w:rFonts w:asciiTheme="minorHAnsi" w:eastAsia="Times New Roman" w:hAnsiTheme="minorHAnsi" w:cstheme="minorBidi"/>
                <w:sz w:val="20"/>
                <w:szCs w:val="20"/>
                <w:lang w:val="en-AU" w:eastAsia="en-AU"/>
              </w:rPr>
              <w:t xml:space="preserve">, </w:t>
            </w:r>
            <w:r w:rsidRPr="3E847DA6">
              <w:rPr>
                <w:rFonts w:asciiTheme="minorHAnsi" w:eastAsia="Times New Roman" w:hAnsiTheme="minorHAnsi" w:cstheme="minorBidi"/>
                <w:sz w:val="20"/>
                <w:szCs w:val="20"/>
                <w:lang w:val="en-AU" w:eastAsia="en-AU"/>
              </w:rPr>
              <w:t xml:space="preserve">as issued by the </w:t>
            </w:r>
            <w:r w:rsidR="006E676A" w:rsidRPr="3E847DA6">
              <w:rPr>
                <w:rFonts w:asciiTheme="minorHAnsi" w:eastAsia="Times New Roman" w:hAnsiTheme="minorHAnsi" w:cstheme="minorBidi"/>
                <w:sz w:val="20"/>
                <w:szCs w:val="20"/>
                <w:lang w:val="en-AU" w:eastAsia="en-AU"/>
              </w:rPr>
              <w:t xml:space="preserve">Institutional Biosafety Committee (IBC) via the </w:t>
            </w:r>
            <w:r w:rsidR="00842050" w:rsidRPr="3E847DA6">
              <w:rPr>
                <w:rFonts w:asciiTheme="minorHAnsi" w:eastAsia="Times New Roman" w:hAnsiTheme="minorHAnsi" w:cstheme="minorBidi"/>
                <w:sz w:val="20"/>
                <w:szCs w:val="20"/>
                <w:lang w:val="en-AU" w:eastAsia="en-AU"/>
              </w:rPr>
              <w:t xml:space="preserve">Research Services </w:t>
            </w:r>
            <w:r w:rsidR="00473D72" w:rsidRPr="3E847DA6">
              <w:rPr>
                <w:rFonts w:asciiTheme="minorHAnsi" w:eastAsia="Times New Roman" w:hAnsiTheme="minorHAnsi" w:cstheme="minorBidi"/>
                <w:sz w:val="20"/>
                <w:szCs w:val="20"/>
                <w:lang w:val="en-AU" w:eastAsia="en-AU"/>
              </w:rPr>
              <w:t>O</w:t>
            </w:r>
            <w:r w:rsidR="00842050" w:rsidRPr="3E847DA6">
              <w:rPr>
                <w:rFonts w:asciiTheme="minorHAnsi" w:eastAsia="Times New Roman" w:hAnsiTheme="minorHAnsi" w:cstheme="minorBidi"/>
                <w:sz w:val="20"/>
                <w:szCs w:val="20"/>
                <w:lang w:val="en-AU" w:eastAsia="en-AU"/>
              </w:rPr>
              <w:t>ffice</w:t>
            </w:r>
            <w:r w:rsidRPr="3E847DA6">
              <w:rPr>
                <w:rFonts w:asciiTheme="minorHAnsi" w:eastAsia="Times New Roman" w:hAnsiTheme="minorHAnsi" w:cstheme="minorBidi"/>
                <w:sz w:val="20"/>
                <w:szCs w:val="20"/>
                <w:lang w:val="en-AU" w:eastAsia="en-AU"/>
              </w:rPr>
              <w:t>.</w:t>
            </w:r>
          </w:p>
        </w:tc>
      </w:tr>
      <w:tr w:rsidR="00144850" w:rsidRPr="00F62810" w14:paraId="716BC003" w14:textId="77777777" w:rsidTr="7731A6EF">
        <w:trPr>
          <w:trHeight w:val="465"/>
        </w:trPr>
        <w:tc>
          <w:tcPr>
            <w:tcW w:w="1006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0578413F" w14:textId="5670D32A" w:rsidR="00144850" w:rsidRPr="00F62810" w:rsidRDefault="00144850" w:rsidP="00144850">
            <w:pPr>
              <w:pStyle w:val="TableParagraph"/>
              <w:numPr>
                <w:ilvl w:val="0"/>
                <w:numId w:val="30"/>
              </w:numPr>
              <w:jc w:val="both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AU"/>
              </w:rPr>
            </w:pPr>
            <w:r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Hooks for lab</w:t>
            </w:r>
            <w:r w:rsidR="00CD0CDF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oratory</w:t>
            </w:r>
            <w:r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 xml:space="preserve"> gowns/coats shall be provided in the </w:t>
            </w:r>
            <w:r w:rsidR="00F756B4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facility</w:t>
            </w:r>
            <w:r w:rsidR="00F756B4"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 xml:space="preserve"> </w:t>
            </w:r>
            <w:r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 xml:space="preserve">near the exit door. Personal protective equipment must be removed before leaving the </w:t>
            </w:r>
            <w:r w:rsidR="00405549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facility</w:t>
            </w:r>
            <w:r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.</w:t>
            </w:r>
          </w:p>
        </w:tc>
      </w:tr>
      <w:tr w:rsidR="00144850" w:rsidRPr="00F62810" w14:paraId="3CA206C4" w14:textId="77777777" w:rsidTr="7731A6EF">
        <w:trPr>
          <w:trHeight w:val="465"/>
        </w:trPr>
        <w:tc>
          <w:tcPr>
            <w:tcW w:w="1006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45A095DD" w14:textId="6F534CA4" w:rsidR="00144850" w:rsidRPr="00F62810" w:rsidRDefault="00144850" w:rsidP="00144850">
            <w:pPr>
              <w:pStyle w:val="TableParagraph"/>
              <w:numPr>
                <w:ilvl w:val="0"/>
                <w:numId w:val="30"/>
              </w:numPr>
              <w:jc w:val="both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AU"/>
              </w:rPr>
            </w:pPr>
            <w:r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Biological hazard symbols must be displayed on freezers, refrigerators, or other storage units where microorganisms are stored.</w:t>
            </w:r>
          </w:p>
        </w:tc>
      </w:tr>
      <w:tr w:rsidR="00144850" w:rsidRPr="00F62810" w14:paraId="364FF78C" w14:textId="77777777" w:rsidTr="7731A6EF">
        <w:trPr>
          <w:trHeight w:val="465"/>
        </w:trPr>
        <w:tc>
          <w:tcPr>
            <w:tcW w:w="1006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73238FC9" w14:textId="69B01614" w:rsidR="00144850" w:rsidRPr="00F62810" w:rsidRDefault="00144850" w:rsidP="00144850">
            <w:pPr>
              <w:pStyle w:val="TableParagraph"/>
              <w:numPr>
                <w:ilvl w:val="0"/>
                <w:numId w:val="30"/>
              </w:numPr>
              <w:jc w:val="both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AU"/>
              </w:rPr>
            </w:pPr>
            <w:r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Backflow prevention for water and gas supplies must be fitted.</w:t>
            </w:r>
          </w:p>
        </w:tc>
      </w:tr>
      <w:tr w:rsidR="00144850" w:rsidRPr="00F62810" w14:paraId="7D1C006A" w14:textId="77777777" w:rsidTr="7731A6EF">
        <w:trPr>
          <w:trHeight w:val="465"/>
        </w:trPr>
        <w:tc>
          <w:tcPr>
            <w:tcW w:w="1006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73C58F6B" w14:textId="234BE9B0" w:rsidR="00144850" w:rsidRPr="00F62810" w:rsidRDefault="00144850" w:rsidP="00144850">
            <w:pPr>
              <w:pStyle w:val="TableParagraph"/>
              <w:numPr>
                <w:ilvl w:val="0"/>
                <w:numId w:val="30"/>
              </w:numPr>
              <w:jc w:val="both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AU"/>
              </w:rPr>
            </w:pPr>
            <w:r w:rsidRPr="00AD418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AU" w:eastAsia="en-AU"/>
              </w:rPr>
              <w:t>Animal Facilities</w:t>
            </w:r>
            <w:r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: Appropriate ventilation and containment systems must be in place to prevent cross-contamination between animal species.</w:t>
            </w:r>
          </w:p>
        </w:tc>
      </w:tr>
      <w:tr w:rsidR="00144850" w:rsidRPr="00F62810" w14:paraId="79E4757D" w14:textId="77777777" w:rsidTr="7731A6EF">
        <w:trPr>
          <w:trHeight w:val="465"/>
        </w:trPr>
        <w:tc>
          <w:tcPr>
            <w:tcW w:w="1006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270B5C66" w14:textId="4161DB15" w:rsidR="00144850" w:rsidRPr="00F62810" w:rsidRDefault="00144850" w:rsidP="00144850">
            <w:pPr>
              <w:pStyle w:val="TableParagraph"/>
              <w:numPr>
                <w:ilvl w:val="0"/>
                <w:numId w:val="30"/>
              </w:numPr>
              <w:jc w:val="both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AU"/>
              </w:rPr>
            </w:pPr>
            <w:r w:rsidRPr="00AD418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AU" w:eastAsia="en-AU"/>
              </w:rPr>
              <w:t>Aquatic Facilities</w:t>
            </w:r>
            <w:r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: Tanks must have secure lids</w:t>
            </w:r>
            <w:r w:rsidR="00FA3EB3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,</w:t>
            </w:r>
            <w:r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 xml:space="preserve"> overflow prevention systems</w:t>
            </w:r>
            <w:r w:rsidR="00FA3EB3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, and containment trays</w:t>
            </w:r>
            <w:r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.</w:t>
            </w:r>
          </w:p>
        </w:tc>
      </w:tr>
      <w:tr w:rsidR="003944ED" w:rsidRPr="00F62810" w14:paraId="3FDE2A3A" w14:textId="77777777" w:rsidTr="7731A6EF">
        <w:trPr>
          <w:trHeight w:val="113"/>
        </w:trPr>
        <w:tc>
          <w:tcPr>
            <w:tcW w:w="10065" w:type="dxa"/>
            <w:tcBorders>
              <w:top w:val="single" w:sz="4" w:space="0" w:color="000000" w:themeColor="text1"/>
              <w:left w:val="single" w:sz="4" w:space="0" w:color="F2F2F2" w:themeColor="background2" w:themeShade="F2"/>
              <w:bottom w:val="single" w:sz="4" w:space="0" w:color="000000" w:themeColor="text1"/>
              <w:right w:val="single" w:sz="4" w:space="0" w:color="F2F2F2" w:themeColor="background2" w:themeShade="F2"/>
            </w:tcBorders>
            <w:shd w:val="clear" w:color="auto" w:fill="BFBFBF" w:themeFill="background2" w:themeFillShade="BF"/>
          </w:tcPr>
          <w:p w14:paraId="7525A2A9" w14:textId="2E9D7A41" w:rsidR="003250C9" w:rsidRPr="00F62810" w:rsidRDefault="00144850" w:rsidP="00144850">
            <w:pPr>
              <w:pStyle w:val="TableParagraph"/>
              <w:ind w:left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AU"/>
              </w:rPr>
            </w:pPr>
            <w:r w:rsidRPr="00F62810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>Procedural Requirements</w:t>
            </w:r>
          </w:p>
        </w:tc>
      </w:tr>
      <w:tr w:rsidR="00144850" w:rsidRPr="00F62810" w14:paraId="51CE7399" w14:textId="77777777" w:rsidTr="7731A6EF">
        <w:trPr>
          <w:trHeight w:val="465"/>
        </w:trPr>
        <w:tc>
          <w:tcPr>
            <w:tcW w:w="1006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5D02DC68" w14:textId="621E92E3" w:rsidR="00144850" w:rsidRPr="00F62810" w:rsidRDefault="00144850" w:rsidP="00144850">
            <w:pPr>
              <w:pStyle w:val="TableParagraph"/>
              <w:numPr>
                <w:ilvl w:val="0"/>
                <w:numId w:val="30"/>
              </w:numPr>
              <w:jc w:val="both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AU"/>
              </w:rPr>
            </w:pPr>
            <w:r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Access to the lab is restricted to authori</w:t>
            </w:r>
            <w:r w:rsidR="00237A17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s</w:t>
            </w:r>
            <w:r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ed personnel only.</w:t>
            </w:r>
          </w:p>
        </w:tc>
      </w:tr>
      <w:tr w:rsidR="00144850" w:rsidRPr="00F62810" w14:paraId="2A351B42" w14:textId="77777777" w:rsidTr="7731A6EF">
        <w:trPr>
          <w:trHeight w:val="465"/>
        </w:trPr>
        <w:tc>
          <w:tcPr>
            <w:tcW w:w="1006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2D297332" w14:textId="579FCB88" w:rsidR="00144850" w:rsidRPr="00F62810" w:rsidRDefault="00144850" w:rsidP="00144850">
            <w:pPr>
              <w:pStyle w:val="TableParagraph"/>
              <w:numPr>
                <w:ilvl w:val="0"/>
                <w:numId w:val="30"/>
              </w:numPr>
              <w:jc w:val="both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AU"/>
              </w:rPr>
            </w:pPr>
            <w:r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Benches must be kept free of clutter and decontaminated daily with a disinfectant effective against the agents used.</w:t>
            </w:r>
          </w:p>
        </w:tc>
      </w:tr>
      <w:tr w:rsidR="00A07F65" w:rsidRPr="00F62810" w14:paraId="6B625A1B" w14:textId="77777777" w:rsidTr="7731A6EF">
        <w:trPr>
          <w:trHeight w:val="465"/>
        </w:trPr>
        <w:tc>
          <w:tcPr>
            <w:tcW w:w="1006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7A215261" w14:textId="77777777" w:rsidR="00A07F65" w:rsidRPr="00F62810" w:rsidRDefault="00A07F65" w:rsidP="004E393F">
            <w:pPr>
              <w:pStyle w:val="TableParagraph"/>
              <w:numPr>
                <w:ilvl w:val="0"/>
                <w:numId w:val="30"/>
              </w:numPr>
              <w:jc w:val="both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AU"/>
              </w:rPr>
            </w:pPr>
            <w:r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Laboratory gowns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/coats</w:t>
            </w:r>
            <w:r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 xml:space="preserve"> must be worn when working in the 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facility</w:t>
            </w:r>
            <w:r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 xml:space="preserve"> and removed before leaving the 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facility</w:t>
            </w:r>
            <w:r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.</w:t>
            </w:r>
          </w:p>
        </w:tc>
      </w:tr>
      <w:tr w:rsidR="00144850" w:rsidRPr="00F62810" w14:paraId="1E5AF47C" w14:textId="77777777" w:rsidTr="7731A6EF">
        <w:trPr>
          <w:trHeight w:val="465"/>
        </w:trPr>
        <w:tc>
          <w:tcPr>
            <w:tcW w:w="1006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4E6BF320" w14:textId="2A003847" w:rsidR="00144850" w:rsidRPr="00F62810" w:rsidRDefault="00144850" w:rsidP="00144850">
            <w:pPr>
              <w:pStyle w:val="TableParagraph"/>
              <w:numPr>
                <w:ilvl w:val="0"/>
                <w:numId w:val="30"/>
              </w:numPr>
              <w:jc w:val="both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AU"/>
              </w:rPr>
            </w:pPr>
            <w:r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lastRenderedPageBreak/>
              <w:t xml:space="preserve">Laboratory </w:t>
            </w:r>
            <w:r w:rsidR="00237A17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gowns/</w:t>
            </w:r>
            <w:r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coats must be stored on the hooks provided when not being worn.</w:t>
            </w:r>
          </w:p>
        </w:tc>
      </w:tr>
      <w:tr w:rsidR="00144850" w:rsidRPr="00F62810" w14:paraId="51AB579F" w14:textId="77777777" w:rsidTr="7731A6EF">
        <w:trPr>
          <w:trHeight w:val="465"/>
        </w:trPr>
        <w:tc>
          <w:tcPr>
            <w:tcW w:w="1006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2303539C" w14:textId="210BFFDE" w:rsidR="00144850" w:rsidRPr="00F62810" w:rsidRDefault="00144850" w:rsidP="00144850">
            <w:pPr>
              <w:pStyle w:val="TableParagraph"/>
              <w:numPr>
                <w:ilvl w:val="0"/>
                <w:numId w:val="30"/>
              </w:numPr>
              <w:jc w:val="both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AU"/>
              </w:rPr>
            </w:pPr>
            <w:r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Specialised wastes must be segregated (e.g., broken glass, biological waste, radioactive waste) and disposed of in the appropriate method.</w:t>
            </w:r>
          </w:p>
        </w:tc>
      </w:tr>
      <w:tr w:rsidR="00144850" w:rsidRPr="00F62810" w14:paraId="22542065" w14:textId="77777777" w:rsidTr="7731A6EF">
        <w:trPr>
          <w:trHeight w:val="465"/>
        </w:trPr>
        <w:tc>
          <w:tcPr>
            <w:tcW w:w="1006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6FD03A29" w14:textId="49F5FBA3" w:rsidR="00144850" w:rsidRPr="00F62810" w:rsidRDefault="00144850" w:rsidP="00144850">
            <w:pPr>
              <w:pStyle w:val="TableParagraph"/>
              <w:numPr>
                <w:ilvl w:val="0"/>
                <w:numId w:val="30"/>
              </w:numPr>
              <w:jc w:val="both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AU"/>
              </w:rPr>
            </w:pPr>
            <w:r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 xml:space="preserve">Closed footwear must be worn when working in the </w:t>
            </w:r>
            <w:r w:rsidR="00237A17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facility</w:t>
            </w:r>
            <w:r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.</w:t>
            </w:r>
          </w:p>
        </w:tc>
      </w:tr>
      <w:tr w:rsidR="00144850" w:rsidRPr="00F62810" w14:paraId="7B25E9A6" w14:textId="77777777" w:rsidTr="7731A6EF">
        <w:trPr>
          <w:trHeight w:val="465"/>
        </w:trPr>
        <w:tc>
          <w:tcPr>
            <w:tcW w:w="1006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09F0EFA3" w14:textId="60DD7746" w:rsidR="00144850" w:rsidRPr="00F62810" w:rsidRDefault="00144850" w:rsidP="00144850">
            <w:pPr>
              <w:pStyle w:val="TableParagraph"/>
              <w:numPr>
                <w:ilvl w:val="0"/>
                <w:numId w:val="30"/>
              </w:numPr>
              <w:jc w:val="both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AU"/>
              </w:rPr>
            </w:pPr>
            <w:r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Long hair must be tied back, or a hair net must be worn.</w:t>
            </w:r>
          </w:p>
        </w:tc>
      </w:tr>
      <w:tr w:rsidR="00144850" w:rsidRPr="00F62810" w14:paraId="45EC6009" w14:textId="77777777" w:rsidTr="7731A6EF">
        <w:trPr>
          <w:trHeight w:val="465"/>
        </w:trPr>
        <w:tc>
          <w:tcPr>
            <w:tcW w:w="1006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5A81F04B" w14:textId="40E8B65C" w:rsidR="00144850" w:rsidRPr="00F62810" w:rsidRDefault="00144850" w:rsidP="00144850">
            <w:pPr>
              <w:pStyle w:val="TableParagraph"/>
              <w:numPr>
                <w:ilvl w:val="0"/>
                <w:numId w:val="30"/>
              </w:numPr>
              <w:jc w:val="both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AU"/>
              </w:rPr>
            </w:pPr>
            <w:r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Safety glasses, face shields, and gloves must be worn where required or as indicated by risk assessment.</w:t>
            </w:r>
          </w:p>
        </w:tc>
      </w:tr>
      <w:tr w:rsidR="00144850" w:rsidRPr="00F62810" w14:paraId="34BA228D" w14:textId="77777777" w:rsidTr="7731A6EF">
        <w:trPr>
          <w:trHeight w:val="465"/>
        </w:trPr>
        <w:tc>
          <w:tcPr>
            <w:tcW w:w="1006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15D558BE" w14:textId="1A9DFBEF" w:rsidR="00144850" w:rsidRPr="00F62810" w:rsidRDefault="00144850" w:rsidP="00144850">
            <w:pPr>
              <w:pStyle w:val="TableParagraph"/>
              <w:numPr>
                <w:ilvl w:val="0"/>
                <w:numId w:val="30"/>
              </w:numPr>
              <w:jc w:val="both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AU"/>
              </w:rPr>
            </w:pPr>
            <w:r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Cultures of microorganisms must be clearly labelled (contents, owner, date, etc.)</w:t>
            </w:r>
            <w:r w:rsidR="000D7221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, and stored appropriately</w:t>
            </w:r>
            <w:r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.</w:t>
            </w:r>
          </w:p>
        </w:tc>
      </w:tr>
      <w:tr w:rsidR="00144850" w:rsidRPr="00F62810" w14:paraId="0A13CCD5" w14:textId="77777777" w:rsidTr="7731A6EF">
        <w:trPr>
          <w:trHeight w:val="465"/>
        </w:trPr>
        <w:tc>
          <w:tcPr>
            <w:tcW w:w="1006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3146F438" w14:textId="77053944" w:rsidR="00144850" w:rsidRPr="00F62810" w:rsidRDefault="00144850" w:rsidP="00144850">
            <w:pPr>
              <w:pStyle w:val="TableParagraph"/>
              <w:numPr>
                <w:ilvl w:val="0"/>
                <w:numId w:val="30"/>
              </w:numPr>
              <w:jc w:val="both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AU"/>
              </w:rPr>
            </w:pPr>
            <w:r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Disinfectant appropriate for the agents in use must be available and labelled with content, concentration, and expiry or preparation date.</w:t>
            </w:r>
          </w:p>
        </w:tc>
      </w:tr>
      <w:tr w:rsidR="00664406" w:rsidRPr="00F62810" w14:paraId="501305C6" w14:textId="77777777" w:rsidTr="7731A6EF">
        <w:trPr>
          <w:trHeight w:val="465"/>
        </w:trPr>
        <w:tc>
          <w:tcPr>
            <w:tcW w:w="1006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051D4CAC" w14:textId="04FA04D8" w:rsidR="00664406" w:rsidRPr="00AD4188" w:rsidRDefault="00664406" w:rsidP="00144850">
            <w:pPr>
              <w:pStyle w:val="TableParagraph"/>
              <w:numPr>
                <w:ilvl w:val="0"/>
                <w:numId w:val="30"/>
              </w:numPr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664406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Viable microorganisms must be sterili</w:t>
            </w:r>
            <w:r w:rsidR="00237A17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s</w:t>
            </w:r>
            <w:r w:rsidRPr="00664406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ed by pressure steam sterilization, treated with a chemical disinfectant, or incinerated in an EPA-approved facility before disposal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.</w:t>
            </w:r>
          </w:p>
        </w:tc>
      </w:tr>
      <w:tr w:rsidR="00664406" w:rsidRPr="00F62810" w14:paraId="29132D9C" w14:textId="77777777" w:rsidTr="7731A6EF">
        <w:trPr>
          <w:trHeight w:val="465"/>
        </w:trPr>
        <w:tc>
          <w:tcPr>
            <w:tcW w:w="1006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712810A3" w14:textId="069879CF" w:rsidR="00664406" w:rsidRPr="00AD4188" w:rsidRDefault="00664406" w:rsidP="00144850">
            <w:pPr>
              <w:pStyle w:val="TableParagraph"/>
              <w:numPr>
                <w:ilvl w:val="0"/>
                <w:numId w:val="30"/>
              </w:numPr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664406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 xml:space="preserve">Documented spill procedures must be in place, and spill kits must be readily available in each </w:t>
            </w:r>
            <w:r w:rsidR="00287055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facility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.</w:t>
            </w:r>
          </w:p>
        </w:tc>
      </w:tr>
      <w:tr w:rsidR="00664406" w:rsidRPr="00F62810" w14:paraId="16D3EBE9" w14:textId="77777777" w:rsidTr="7731A6EF">
        <w:trPr>
          <w:trHeight w:val="465"/>
        </w:trPr>
        <w:tc>
          <w:tcPr>
            <w:tcW w:w="1006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50137DF4" w14:textId="369BE42B" w:rsidR="00664406" w:rsidRPr="00AD4188" w:rsidRDefault="00664406" w:rsidP="00144850">
            <w:pPr>
              <w:pStyle w:val="TableParagraph"/>
              <w:numPr>
                <w:ilvl w:val="0"/>
                <w:numId w:val="30"/>
              </w:numPr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664406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Hoses attached to taps must not extend into sinks to prevent contamination of potable water supplies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.</w:t>
            </w:r>
          </w:p>
        </w:tc>
      </w:tr>
      <w:tr w:rsidR="00664406" w:rsidRPr="00F62810" w14:paraId="0B17971C" w14:textId="77777777" w:rsidTr="7731A6EF">
        <w:trPr>
          <w:trHeight w:val="465"/>
        </w:trPr>
        <w:tc>
          <w:tcPr>
            <w:tcW w:w="1006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42B73FCE" w14:textId="2285BB8A" w:rsidR="00664406" w:rsidRPr="00AD4188" w:rsidRDefault="00664406" w:rsidP="00144850">
            <w:pPr>
              <w:pStyle w:val="TableParagraph"/>
              <w:numPr>
                <w:ilvl w:val="0"/>
                <w:numId w:val="30"/>
              </w:numPr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664406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 xml:space="preserve">The transport of microorganisms between </w:t>
            </w:r>
            <w:r w:rsidR="00A23FF4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facilities</w:t>
            </w:r>
            <w:r w:rsidR="00A23FF4" w:rsidRPr="00664406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 xml:space="preserve"> </w:t>
            </w:r>
            <w:r w:rsidRPr="00664406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(including for disposal) must be conducted in a labelled, secondary, unbreakable container that can be easily decontaminated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.</w:t>
            </w:r>
          </w:p>
        </w:tc>
      </w:tr>
      <w:tr w:rsidR="00144850" w:rsidRPr="00F62810" w14:paraId="060D14BC" w14:textId="77777777" w:rsidTr="7731A6EF">
        <w:trPr>
          <w:trHeight w:val="465"/>
        </w:trPr>
        <w:tc>
          <w:tcPr>
            <w:tcW w:w="1006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551AF3F0" w14:textId="1E72EDB3" w:rsidR="00144850" w:rsidRPr="00F62810" w:rsidRDefault="00144850" w:rsidP="00144850">
            <w:pPr>
              <w:pStyle w:val="TableParagraph"/>
              <w:numPr>
                <w:ilvl w:val="0"/>
                <w:numId w:val="30"/>
              </w:numPr>
              <w:jc w:val="both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AU"/>
              </w:rPr>
            </w:pPr>
            <w:r w:rsidRPr="00AD418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AU" w:eastAsia="en-AU"/>
              </w:rPr>
              <w:t>Animal Facilities</w:t>
            </w:r>
            <w:r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: Animal cages and bedding must be decontaminated regularly, and animal waste must be properly disposed of according to ethics and biosecurity protocols.</w:t>
            </w:r>
          </w:p>
        </w:tc>
      </w:tr>
      <w:tr w:rsidR="00144850" w:rsidRPr="00F62810" w14:paraId="3FDB62D1" w14:textId="77777777" w:rsidTr="7731A6EF">
        <w:trPr>
          <w:trHeight w:val="465"/>
        </w:trPr>
        <w:tc>
          <w:tcPr>
            <w:tcW w:w="1006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5CF8622E" w14:textId="4C296E41" w:rsidR="00144850" w:rsidRPr="00F62810" w:rsidRDefault="00144850" w:rsidP="00144850">
            <w:pPr>
              <w:pStyle w:val="TableParagraph"/>
              <w:numPr>
                <w:ilvl w:val="0"/>
                <w:numId w:val="30"/>
              </w:numPr>
              <w:jc w:val="both"/>
              <w:rPr>
                <w:rFonts w:asciiTheme="minorHAnsi" w:eastAsia="Calibri" w:hAnsiTheme="minorHAnsi" w:cstheme="minorBidi"/>
                <w:color w:val="000000"/>
                <w:sz w:val="20"/>
                <w:szCs w:val="20"/>
                <w:lang w:val="en-AU"/>
              </w:rPr>
            </w:pPr>
            <w:r w:rsidRPr="7731A6EF">
              <w:rPr>
                <w:rFonts w:asciiTheme="minorHAnsi" w:eastAsia="Times New Roman" w:hAnsiTheme="minorHAnsi" w:cstheme="minorBidi"/>
                <w:b/>
                <w:sz w:val="20"/>
                <w:szCs w:val="20"/>
                <w:lang w:val="en-AU" w:eastAsia="en-AU"/>
              </w:rPr>
              <w:t>Aquatic Facilities</w:t>
            </w:r>
            <w:r w:rsidRPr="7731A6EF">
              <w:rPr>
                <w:rFonts w:asciiTheme="minorHAnsi" w:eastAsia="Times New Roman" w:hAnsiTheme="minorHAnsi" w:cstheme="minorBidi"/>
                <w:sz w:val="20"/>
                <w:szCs w:val="20"/>
                <w:lang w:val="en-AU" w:eastAsia="en-AU"/>
              </w:rPr>
              <w:t xml:space="preserve">: Water quality and filtration systems must be regularly monitored, and </w:t>
            </w:r>
            <w:r w:rsidR="09D5E571" w:rsidRPr="7731A6EF">
              <w:rPr>
                <w:rFonts w:asciiTheme="minorHAnsi" w:eastAsia="Times New Roman" w:hAnsiTheme="minorHAnsi" w:cstheme="minorBidi"/>
                <w:sz w:val="20"/>
                <w:szCs w:val="20"/>
                <w:lang w:val="en-AU" w:eastAsia="en-AU"/>
              </w:rPr>
              <w:t>wastewater</w:t>
            </w:r>
            <w:r w:rsidRPr="7731A6EF">
              <w:rPr>
                <w:rFonts w:asciiTheme="minorHAnsi" w:eastAsia="Times New Roman" w:hAnsiTheme="minorHAnsi" w:cstheme="minorBidi"/>
                <w:sz w:val="20"/>
                <w:szCs w:val="20"/>
                <w:lang w:val="en-AU" w:eastAsia="en-AU"/>
              </w:rPr>
              <w:t xml:space="preserve"> from aquatic tanks must be disposed of in accordance with environmental safety standards.</w:t>
            </w:r>
          </w:p>
        </w:tc>
      </w:tr>
      <w:tr w:rsidR="00D24274" w:rsidRPr="00F62810" w14:paraId="402FE9F4" w14:textId="77777777" w:rsidTr="7731A6EF">
        <w:trPr>
          <w:trHeight w:val="113"/>
        </w:trPr>
        <w:tc>
          <w:tcPr>
            <w:tcW w:w="10065" w:type="dxa"/>
            <w:tcBorders>
              <w:top w:val="single" w:sz="4" w:space="0" w:color="000000" w:themeColor="text1"/>
              <w:left w:val="single" w:sz="4" w:space="0" w:color="F2F2F2" w:themeColor="background2" w:themeShade="F2"/>
              <w:bottom w:val="single" w:sz="4" w:space="0" w:color="000000" w:themeColor="text1"/>
              <w:right w:val="single" w:sz="4" w:space="0" w:color="F2F2F2" w:themeColor="background2" w:themeShade="F2"/>
            </w:tcBorders>
            <w:shd w:val="clear" w:color="auto" w:fill="F2F2F2" w:themeFill="background2" w:themeFillShade="F2"/>
            <w:vAlign w:val="center"/>
          </w:tcPr>
          <w:p w14:paraId="2E96556C" w14:textId="413D25DC" w:rsidR="00D24274" w:rsidRPr="00F62810" w:rsidRDefault="00D24274">
            <w:pPr>
              <w:pStyle w:val="Heading4"/>
              <w:jc w:val="center"/>
            </w:pPr>
            <w:r w:rsidRPr="00F62810">
              <w:t>PHYSICAL CONTAINMENT LEVEL 2 (PC</w:t>
            </w:r>
            <w:r w:rsidR="00CB17A3">
              <w:t>2</w:t>
            </w:r>
            <w:r w:rsidRPr="00F62810">
              <w:t>) REQUIREMENTS</w:t>
            </w:r>
          </w:p>
          <w:p w14:paraId="5857D3E5" w14:textId="31E4BE43" w:rsidR="00D24274" w:rsidRPr="00F62810" w:rsidRDefault="00D24274">
            <w:pPr>
              <w:pStyle w:val="Heading4"/>
              <w:jc w:val="center"/>
            </w:pPr>
            <w:r w:rsidRPr="00F62810">
              <w:t xml:space="preserve">Requirements 1 - </w:t>
            </w:r>
            <w:r w:rsidR="00282089">
              <w:t>73</w:t>
            </w:r>
            <w:r w:rsidRPr="00F62810">
              <w:t xml:space="preserve"> apply</w:t>
            </w:r>
          </w:p>
          <w:p w14:paraId="542E432B" w14:textId="13F5B675" w:rsidR="00D24274" w:rsidRDefault="00D24274" w:rsidP="0061098A">
            <w:pPr>
              <w:pStyle w:val="TableParagraph"/>
              <w:spacing w:before="120" w:after="120" w:line="264" w:lineRule="auto"/>
              <w:ind w:left="0"/>
              <w:jc w:val="both"/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</w:pPr>
            <w:r w:rsidRPr="00F62810"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  <w:t>PC2 Requirements enforce stricter containment and procedural protocols for moderate-risk biological agents</w:t>
            </w:r>
            <w:r w:rsidR="00F46092"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  <w:t xml:space="preserve"> (Risk-Group 2)</w:t>
            </w:r>
            <w:r w:rsidRPr="00F62810"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  <w:t xml:space="preserve"> that can cause disease but are not easily transmissible. These standards include enhanced structural safeguards and the use of </w:t>
            </w:r>
            <w:r w:rsidR="002E6873" w:rsidRPr="00747D8D"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  <w:t xml:space="preserve">Class II </w:t>
            </w:r>
            <w:r w:rsidR="002E6873" w:rsidRPr="00115B71"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  <w:t>B</w:t>
            </w:r>
            <w:r w:rsidRPr="00115B71"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  <w:t xml:space="preserve">iological </w:t>
            </w:r>
            <w:r w:rsidR="002E6873" w:rsidRPr="00115B71"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  <w:t>S</w:t>
            </w:r>
            <w:r w:rsidRPr="00115B71"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  <w:t xml:space="preserve">afety </w:t>
            </w:r>
            <w:r w:rsidR="002E6873" w:rsidRPr="00115B71"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  <w:t>C</w:t>
            </w:r>
            <w:r w:rsidRPr="00115B71"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  <w:t>abinets</w:t>
            </w:r>
            <w:r w:rsidR="002E6873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 xml:space="preserve"> </w:t>
            </w:r>
            <w:r w:rsidR="002E6873" w:rsidRPr="00115B71"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  <w:t>(BSCII)</w:t>
            </w:r>
            <w:r w:rsidRPr="002E6873"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  <w:t>.</w:t>
            </w:r>
            <w:r w:rsidRPr="00F62810"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  <w:t xml:space="preserve"> Common agents in PC2 </w:t>
            </w:r>
            <w:r w:rsidR="006A4509"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  <w:t>facilities</w:t>
            </w:r>
            <w:r w:rsidR="006A4509" w:rsidRPr="00F62810"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  <w:t xml:space="preserve"> </w:t>
            </w:r>
            <w:r w:rsidR="00747D8D"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  <w:t xml:space="preserve">may </w:t>
            </w:r>
            <w:r w:rsidRPr="00F62810"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  <w:t xml:space="preserve">include </w:t>
            </w:r>
            <w:r w:rsidRPr="00F62810">
              <w:rPr>
                <w:rFonts w:ascii="Arial" w:eastAsia="Calibri" w:hAnsi="Arial" w:cs="Arial"/>
                <w:bCs/>
                <w:i/>
                <w:iCs/>
                <w:color w:val="000000" w:themeColor="text1"/>
                <w:sz w:val="20"/>
                <w:szCs w:val="20"/>
                <w:lang w:val="en-AU"/>
              </w:rPr>
              <w:t>Salmonella</w:t>
            </w:r>
            <w:r w:rsidRPr="00F62810"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  <w:t xml:space="preserve">, </w:t>
            </w:r>
            <w:r w:rsidRPr="00F62810">
              <w:rPr>
                <w:rFonts w:ascii="Arial" w:eastAsia="Calibri" w:hAnsi="Arial" w:cs="Arial"/>
                <w:bCs/>
                <w:i/>
                <w:iCs/>
                <w:color w:val="000000" w:themeColor="text1"/>
                <w:sz w:val="20"/>
                <w:szCs w:val="20"/>
                <w:lang w:val="en-AU"/>
              </w:rPr>
              <w:t>Staphylococcus aureus</w:t>
            </w:r>
            <w:r w:rsidRPr="00F62810"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  <w:t xml:space="preserve">, and human </w:t>
            </w:r>
            <w:r w:rsidR="007A4E9D"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  <w:t>bodily fluid</w:t>
            </w:r>
            <w:r w:rsidR="00D54883"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  <w:t>s</w:t>
            </w:r>
            <w:r w:rsidRPr="00F62810"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  <w:t>, which require safe handling procedures and stringent waste management</w:t>
            </w:r>
            <w:r w:rsidR="00F909C9"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  <w:t xml:space="preserve"> </w:t>
            </w:r>
            <w:r w:rsidRPr="00F62810"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  <w:t>to ensure the protection of personnel and the environment from infectious exposure.</w:t>
            </w:r>
          </w:p>
          <w:p w14:paraId="1C6DED28" w14:textId="58CF5C36" w:rsidR="0061098A" w:rsidRPr="00F62810" w:rsidRDefault="0061098A" w:rsidP="00115B71">
            <w:pPr>
              <w:pStyle w:val="TableParagraph"/>
              <w:spacing w:before="120" w:after="120" w:line="264" w:lineRule="auto"/>
              <w:ind w:left="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AU"/>
              </w:rPr>
            </w:pPr>
            <w:r w:rsidRPr="006509B6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>NB:</w:t>
            </w:r>
            <w:r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  <w:t xml:space="preserve"> Points </w:t>
            </w:r>
            <w:r w:rsidR="00282089"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  <w:t>29, 30, 45</w:t>
            </w:r>
            <w:r w:rsidR="00282089"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  <w:t xml:space="preserve">, </w:t>
            </w:r>
            <w:r w:rsidR="00282089"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  <w:t>46</w:t>
            </w:r>
            <w:r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  <w:t xml:space="preserve">, </w:t>
            </w:r>
            <w:r w:rsidR="00653F5F"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  <w:t>5</w:t>
            </w:r>
            <w:r w:rsidR="00282089"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  <w:t>6</w:t>
            </w:r>
            <w:r w:rsidR="00653F5F"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  <w:t>, 5</w:t>
            </w:r>
            <w:r w:rsidR="00282089"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  <w:t>7</w:t>
            </w:r>
            <w:r w:rsidR="00653F5F"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  <w:t xml:space="preserve">, </w:t>
            </w:r>
            <w:r w:rsidR="00282089"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  <w:t>72</w:t>
            </w:r>
            <w:r w:rsidR="00653F5F"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  <w:t xml:space="preserve"> and </w:t>
            </w:r>
            <w:r w:rsidR="00847DBB"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  <w:t>7</w:t>
            </w:r>
            <w:r w:rsidR="00282089"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  <w:t>3</w:t>
            </w:r>
            <w:r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  <w:t xml:space="preserve"> only apply to the relevant facility types</w:t>
            </w:r>
            <w:r w:rsidR="00F909C9"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  <w:t>.</w:t>
            </w:r>
          </w:p>
        </w:tc>
      </w:tr>
      <w:tr w:rsidR="00D24274" w:rsidRPr="00F62810" w14:paraId="040C8235" w14:textId="77777777" w:rsidTr="7731A6EF">
        <w:trPr>
          <w:trHeight w:val="113"/>
        </w:trPr>
        <w:tc>
          <w:tcPr>
            <w:tcW w:w="10065" w:type="dxa"/>
            <w:tcBorders>
              <w:top w:val="single" w:sz="4" w:space="0" w:color="000000" w:themeColor="text1"/>
              <w:left w:val="single" w:sz="4" w:space="0" w:color="F2F2F2" w:themeColor="background2" w:themeShade="F2"/>
              <w:bottom w:val="single" w:sz="4" w:space="0" w:color="000000" w:themeColor="text1"/>
              <w:right w:val="single" w:sz="4" w:space="0" w:color="F2F2F2" w:themeColor="background2" w:themeShade="F2"/>
            </w:tcBorders>
            <w:shd w:val="clear" w:color="auto" w:fill="BFBFBF" w:themeFill="background2" w:themeFillShade="BF"/>
          </w:tcPr>
          <w:p w14:paraId="2A57C425" w14:textId="50514F6C" w:rsidR="00D24274" w:rsidRPr="00F62810" w:rsidRDefault="00D24274" w:rsidP="004E393F">
            <w:pPr>
              <w:pStyle w:val="TableParagraph"/>
              <w:ind w:left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AU"/>
              </w:rPr>
            </w:pPr>
            <w:r w:rsidRPr="00F62810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>Structural Requirements</w:t>
            </w:r>
          </w:p>
        </w:tc>
      </w:tr>
      <w:tr w:rsidR="00F62810" w:rsidRPr="00F62810" w14:paraId="68E3A814" w14:textId="77777777" w:rsidTr="7731A6EF">
        <w:trPr>
          <w:trHeight w:val="465"/>
        </w:trPr>
        <w:tc>
          <w:tcPr>
            <w:tcW w:w="1006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6EEBD8A8" w14:textId="5CA73E7A" w:rsidR="00F62810" w:rsidRPr="00F62810" w:rsidRDefault="00F62810" w:rsidP="00F62810">
            <w:pPr>
              <w:pStyle w:val="TableParagraph"/>
              <w:numPr>
                <w:ilvl w:val="0"/>
                <w:numId w:val="30"/>
              </w:numPr>
              <w:jc w:val="both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AU"/>
              </w:rPr>
            </w:pPr>
            <w:r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 xml:space="preserve">The facility must be fully enclosed and lockable, </w:t>
            </w:r>
            <w:r w:rsidR="001A303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and e</w:t>
            </w:r>
            <w:r w:rsidR="001A3032"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 xml:space="preserve">ach access door </w:t>
            </w:r>
            <w:r w:rsidR="001A303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must</w:t>
            </w:r>
            <w:r w:rsidR="001A3032"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 xml:space="preserve"> display</w:t>
            </w:r>
            <w:r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 xml:space="preserve"> </w:t>
            </w:r>
            <w:r w:rsidRPr="00F909C9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AU" w:eastAsia="en-AU"/>
              </w:rPr>
              <w:t>PC2 signs</w:t>
            </w:r>
            <w:r w:rsidR="001A303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 xml:space="preserve">, </w:t>
            </w:r>
            <w:r w:rsidR="001A3032"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as issued by t</w:t>
            </w:r>
            <w:r w:rsidR="001A303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he IBC</w:t>
            </w:r>
            <w:r w:rsidR="00473D7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 xml:space="preserve"> via the Research Services Office</w:t>
            </w:r>
            <w:r w:rsidR="001A3032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.</w:t>
            </w:r>
          </w:p>
        </w:tc>
      </w:tr>
      <w:tr w:rsidR="00F62810" w:rsidRPr="00F62810" w14:paraId="13C92CB4" w14:textId="77777777" w:rsidTr="7731A6EF">
        <w:trPr>
          <w:trHeight w:val="465"/>
        </w:trPr>
        <w:tc>
          <w:tcPr>
            <w:tcW w:w="1006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00B3FBA2" w14:textId="20B2BBF5" w:rsidR="00F62810" w:rsidRPr="00F62810" w:rsidRDefault="00F62810" w:rsidP="00F62810">
            <w:pPr>
              <w:pStyle w:val="TableParagraph"/>
              <w:numPr>
                <w:ilvl w:val="0"/>
                <w:numId w:val="30"/>
              </w:numPr>
              <w:jc w:val="both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AU"/>
              </w:rPr>
            </w:pPr>
            <w:r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Suitable containers shall be provided for collection, storage, and disposal of infectious material.</w:t>
            </w:r>
          </w:p>
        </w:tc>
      </w:tr>
      <w:tr w:rsidR="00F62810" w:rsidRPr="00F62810" w14:paraId="2B4B6E23" w14:textId="77777777" w:rsidTr="7731A6EF">
        <w:trPr>
          <w:trHeight w:val="465"/>
        </w:trPr>
        <w:tc>
          <w:tcPr>
            <w:tcW w:w="1006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6801E217" w14:textId="03E16E04" w:rsidR="00F62810" w:rsidRPr="00F62810" w:rsidRDefault="00F62810" w:rsidP="00F62810">
            <w:pPr>
              <w:pStyle w:val="TableParagraph"/>
              <w:numPr>
                <w:ilvl w:val="0"/>
                <w:numId w:val="30"/>
              </w:numPr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Protective covers are recommended for keyboards on workbenches. Contaminated keyboards must be decontaminated before disposal.</w:t>
            </w:r>
          </w:p>
        </w:tc>
      </w:tr>
      <w:tr w:rsidR="00F62810" w:rsidRPr="00F62810" w14:paraId="074C8013" w14:textId="77777777" w:rsidTr="7731A6EF">
        <w:trPr>
          <w:trHeight w:val="465"/>
        </w:trPr>
        <w:tc>
          <w:tcPr>
            <w:tcW w:w="1006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60F08C8A" w14:textId="46A91F0D" w:rsidR="00F62810" w:rsidRPr="006856DA" w:rsidRDefault="00302571" w:rsidP="006856DA">
            <w:pPr>
              <w:pStyle w:val="TableParagraph"/>
              <w:numPr>
                <w:ilvl w:val="0"/>
                <w:numId w:val="30"/>
              </w:numPr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 xml:space="preserve">A suitable waste treatment process must be available, </w:t>
            </w:r>
            <w:r w:rsidR="008B7CDB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such as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 xml:space="preserve"> a</w:t>
            </w:r>
            <w:r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 xml:space="preserve"> pressure steam sterili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s</w:t>
            </w:r>
            <w:r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er</w:t>
            </w:r>
            <w:r w:rsidR="008D3827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 xml:space="preserve"> (autoclave)</w:t>
            </w:r>
            <w:r w:rsidR="008B7CDB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 xml:space="preserve"> or an external waste treatment contractor.</w:t>
            </w:r>
            <w:r w:rsidR="00220FBB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 xml:space="preserve"> Where</w:t>
            </w:r>
            <w:r w:rsidR="008D3827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 xml:space="preserve"> an autoclave is </w:t>
            </w:r>
            <w:r w:rsidR="008F6D93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used</w:t>
            </w:r>
            <w:r w:rsidR="009E0468" w:rsidRPr="009E046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 xml:space="preserve"> to decontaminate GMO’s</w:t>
            </w:r>
            <w:r w:rsidR="008F6D93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, it’s</w:t>
            </w:r>
            <w:r w:rsidR="009E0468" w:rsidRPr="009E046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 xml:space="preserve"> </w:t>
            </w:r>
            <w:r w:rsidR="008F6D93" w:rsidRPr="009E046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 xml:space="preserve">effectiveness </w:t>
            </w:r>
            <w:r w:rsidR="009E0468" w:rsidRPr="009E046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must be validated</w:t>
            </w:r>
            <w:r w:rsidR="00EF7D25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/verified</w:t>
            </w:r>
            <w:r w:rsidR="009E0468" w:rsidRPr="009E046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 xml:space="preserve"> </w:t>
            </w:r>
            <w:proofErr w:type="gramStart"/>
            <w:r w:rsidR="009E0468" w:rsidRPr="009E046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monthly</w:t>
            </w:r>
            <w:proofErr w:type="gramEnd"/>
            <w:r w:rsidR="009E0468" w:rsidRPr="009E046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 xml:space="preserve"> and the results </w:t>
            </w:r>
            <w:r w:rsidR="00D11224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maintained for a minimum of</w:t>
            </w:r>
            <w:r w:rsidR="009E0468" w:rsidRPr="009E046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 xml:space="preserve"> 12 months</w:t>
            </w:r>
            <w:r w:rsidR="00D11224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.</w:t>
            </w:r>
            <w:r w:rsidR="00F62810"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 xml:space="preserve"> </w:t>
            </w:r>
            <w:r w:rsidR="00DD4D0A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Where an external contractor is used, adequate</w:t>
            </w:r>
            <w:r w:rsidR="00995FD4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 xml:space="preserve"> secure</w:t>
            </w:r>
            <w:r w:rsidR="00DD4D0A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 xml:space="preserve"> waste storage</w:t>
            </w:r>
            <w:r w:rsidR="000309B9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 xml:space="preserve"> must be available.</w:t>
            </w:r>
          </w:p>
        </w:tc>
      </w:tr>
      <w:tr w:rsidR="00F62810" w:rsidRPr="00F62810" w14:paraId="0FCA3381" w14:textId="77777777" w:rsidTr="7731A6EF">
        <w:trPr>
          <w:trHeight w:val="465"/>
        </w:trPr>
        <w:tc>
          <w:tcPr>
            <w:tcW w:w="1006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7389FD60" w14:textId="71F5F37D" w:rsidR="00F62810" w:rsidRPr="00F62810" w:rsidRDefault="00F62810" w:rsidP="00F62810">
            <w:pPr>
              <w:pStyle w:val="TableParagraph"/>
              <w:numPr>
                <w:ilvl w:val="0"/>
                <w:numId w:val="30"/>
              </w:numPr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lastRenderedPageBreak/>
              <w:t>Backflow prevention for gas and water supplies must be fitted.</w:t>
            </w:r>
          </w:p>
        </w:tc>
      </w:tr>
      <w:tr w:rsidR="00F62810" w:rsidRPr="00F62810" w14:paraId="098BFF61" w14:textId="77777777" w:rsidTr="7731A6EF">
        <w:trPr>
          <w:trHeight w:val="465"/>
        </w:trPr>
        <w:tc>
          <w:tcPr>
            <w:tcW w:w="1006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728C404F" w14:textId="6118FF27" w:rsidR="00F62810" w:rsidRPr="00F62810" w:rsidRDefault="00F62810" w:rsidP="00F62810">
            <w:pPr>
              <w:pStyle w:val="TableParagraph"/>
              <w:numPr>
                <w:ilvl w:val="0"/>
                <w:numId w:val="30"/>
              </w:numPr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 xml:space="preserve">A hands-free operated hand basin or alternative must be available near the exit of each </w:t>
            </w:r>
            <w:r w:rsidR="00614F15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facility</w:t>
            </w:r>
            <w:r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.</w:t>
            </w:r>
          </w:p>
        </w:tc>
      </w:tr>
      <w:tr w:rsidR="00F62810" w:rsidRPr="00F62810" w14:paraId="0EDF3056" w14:textId="77777777" w:rsidTr="7731A6EF">
        <w:trPr>
          <w:trHeight w:val="465"/>
        </w:trPr>
        <w:tc>
          <w:tcPr>
            <w:tcW w:w="1006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18B91173" w14:textId="03583C2C" w:rsidR="00F62810" w:rsidRPr="00F62810" w:rsidRDefault="00F62810" w:rsidP="00F62810">
            <w:pPr>
              <w:pStyle w:val="TableParagraph"/>
              <w:numPr>
                <w:ilvl w:val="0"/>
                <w:numId w:val="30"/>
              </w:numPr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Long-term write-up areas shall not be provided within the PC2 facility boundary.</w:t>
            </w:r>
          </w:p>
        </w:tc>
      </w:tr>
      <w:tr w:rsidR="00F62810" w:rsidRPr="00F62810" w14:paraId="38128736" w14:textId="77777777" w:rsidTr="7731A6EF">
        <w:trPr>
          <w:trHeight w:val="465"/>
        </w:trPr>
        <w:tc>
          <w:tcPr>
            <w:tcW w:w="1006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0613939C" w14:textId="1701554F" w:rsidR="00F62810" w:rsidRPr="00F62810" w:rsidRDefault="00F62810" w:rsidP="00F62810">
            <w:pPr>
              <w:pStyle w:val="TableParagraph"/>
              <w:numPr>
                <w:ilvl w:val="0"/>
                <w:numId w:val="30"/>
              </w:numPr>
              <w:jc w:val="both"/>
              <w:rPr>
                <w:rFonts w:asciiTheme="minorHAnsi" w:eastAsia="Times New Roman" w:hAnsiTheme="minorHAnsi" w:cstheme="minorBidi"/>
                <w:sz w:val="20"/>
                <w:szCs w:val="20"/>
                <w:lang w:val="en-AU" w:eastAsia="en-AU"/>
              </w:rPr>
            </w:pPr>
            <w:r w:rsidRPr="7731A6EF">
              <w:rPr>
                <w:rFonts w:asciiTheme="minorHAnsi" w:eastAsia="Times New Roman" w:hAnsiTheme="minorHAnsi" w:cstheme="minorBidi"/>
                <w:sz w:val="20"/>
                <w:szCs w:val="20"/>
                <w:lang w:val="en-AU" w:eastAsia="en-AU"/>
              </w:rPr>
              <w:t xml:space="preserve">If prions are handled, a </w:t>
            </w:r>
            <w:r w:rsidR="00B54605" w:rsidRPr="7731A6EF">
              <w:rPr>
                <w:rFonts w:asciiTheme="minorHAnsi" w:eastAsia="Times New Roman" w:hAnsiTheme="minorHAnsi" w:cstheme="minorBidi"/>
                <w:sz w:val="20"/>
                <w:szCs w:val="20"/>
                <w:lang w:val="en-AU" w:eastAsia="en-AU"/>
              </w:rPr>
              <w:t>BSCII</w:t>
            </w:r>
            <w:r w:rsidRPr="7731A6EF">
              <w:rPr>
                <w:rFonts w:asciiTheme="minorHAnsi" w:eastAsia="Times New Roman" w:hAnsiTheme="minorHAnsi" w:cstheme="minorBidi"/>
                <w:sz w:val="20"/>
                <w:szCs w:val="20"/>
                <w:lang w:val="en-AU" w:eastAsia="en-AU"/>
              </w:rPr>
              <w:t xml:space="preserve"> must be used.</w:t>
            </w:r>
          </w:p>
        </w:tc>
      </w:tr>
      <w:tr w:rsidR="00D520E7" w:rsidRPr="00F62810" w14:paraId="298A55A1" w14:textId="77777777" w:rsidTr="7731A6EF">
        <w:trPr>
          <w:trHeight w:val="465"/>
        </w:trPr>
        <w:tc>
          <w:tcPr>
            <w:tcW w:w="1006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47412737" w14:textId="29327EE2" w:rsidR="00D520E7" w:rsidRPr="00AD4188" w:rsidRDefault="00D520E7" w:rsidP="00F62810">
            <w:pPr>
              <w:pStyle w:val="TableParagraph"/>
              <w:numPr>
                <w:ilvl w:val="0"/>
                <w:numId w:val="30"/>
              </w:numPr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D520E7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The facility must be inspected at least once every 12 months by a person with knowledge and skill to enable that person to assess the facilit</w:t>
            </w:r>
            <w:r w:rsidR="007F72B1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y’</w:t>
            </w:r>
            <w:r w:rsidRPr="00D520E7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s compliance.</w:t>
            </w:r>
          </w:p>
        </w:tc>
      </w:tr>
      <w:tr w:rsidR="00F62810" w:rsidRPr="00F62810" w14:paraId="3A0FC3FD" w14:textId="77777777" w:rsidTr="7731A6EF">
        <w:trPr>
          <w:trHeight w:val="465"/>
        </w:trPr>
        <w:tc>
          <w:tcPr>
            <w:tcW w:w="1006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7AE4E41A" w14:textId="543819AC" w:rsidR="00F62810" w:rsidRPr="00F62810" w:rsidRDefault="00F62810" w:rsidP="00F62810">
            <w:pPr>
              <w:pStyle w:val="TableParagraph"/>
              <w:numPr>
                <w:ilvl w:val="0"/>
                <w:numId w:val="30"/>
              </w:numPr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AD418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AU" w:eastAsia="en-AU"/>
              </w:rPr>
              <w:t>Animal Facilities</w:t>
            </w:r>
            <w:r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: Rooms housing animals must include species-specific containment, with separate clean and dirty zones to prevent contamination.</w:t>
            </w:r>
          </w:p>
        </w:tc>
      </w:tr>
      <w:tr w:rsidR="00F62810" w:rsidRPr="00F62810" w14:paraId="42C131B7" w14:textId="77777777" w:rsidTr="7731A6EF">
        <w:trPr>
          <w:trHeight w:val="465"/>
        </w:trPr>
        <w:tc>
          <w:tcPr>
            <w:tcW w:w="1006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3B0ED2FE" w14:textId="54FF8A58" w:rsidR="00F62810" w:rsidRPr="00F62810" w:rsidRDefault="00F62810" w:rsidP="00F62810">
            <w:pPr>
              <w:pStyle w:val="TableParagraph"/>
              <w:numPr>
                <w:ilvl w:val="0"/>
                <w:numId w:val="30"/>
              </w:numPr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AD418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AU" w:eastAsia="en-AU"/>
              </w:rPr>
              <w:t>Aquatic Facilities</w:t>
            </w:r>
            <w:r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: Tanks for aquatic species must be equipped with appropriate ventilation and secure covers to prevent escape and contamination.</w:t>
            </w:r>
          </w:p>
        </w:tc>
      </w:tr>
      <w:tr w:rsidR="00F62810" w:rsidRPr="00F62810" w14:paraId="24D9E3C9" w14:textId="77777777" w:rsidTr="7731A6EF">
        <w:trPr>
          <w:trHeight w:val="113"/>
        </w:trPr>
        <w:tc>
          <w:tcPr>
            <w:tcW w:w="10065" w:type="dxa"/>
            <w:tcBorders>
              <w:top w:val="single" w:sz="4" w:space="0" w:color="000000" w:themeColor="text1"/>
              <w:left w:val="single" w:sz="4" w:space="0" w:color="F2F2F2" w:themeColor="background2" w:themeShade="F2"/>
              <w:bottom w:val="single" w:sz="4" w:space="0" w:color="000000" w:themeColor="text1"/>
              <w:right w:val="single" w:sz="4" w:space="0" w:color="F2F2F2" w:themeColor="background2" w:themeShade="F2"/>
            </w:tcBorders>
            <w:shd w:val="clear" w:color="auto" w:fill="BFBFBF" w:themeFill="background2" w:themeFillShade="BF"/>
          </w:tcPr>
          <w:p w14:paraId="75284487" w14:textId="27AD566C" w:rsidR="00F62810" w:rsidRPr="00F62810" w:rsidRDefault="00F62810" w:rsidP="004E393F">
            <w:pPr>
              <w:pStyle w:val="TableParagraph"/>
              <w:ind w:left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AU"/>
              </w:rPr>
            </w:pPr>
            <w:r w:rsidRPr="00F62810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>Procedural Requirements</w:t>
            </w:r>
          </w:p>
        </w:tc>
      </w:tr>
      <w:tr w:rsidR="00F62810" w:rsidRPr="00F62810" w14:paraId="7D845ECE" w14:textId="77777777" w:rsidTr="7731A6EF">
        <w:trPr>
          <w:trHeight w:val="465"/>
        </w:trPr>
        <w:tc>
          <w:tcPr>
            <w:tcW w:w="1006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5604497F" w14:textId="113A6D03" w:rsidR="00F62810" w:rsidRPr="00F62810" w:rsidRDefault="00F62810" w:rsidP="00F62810">
            <w:pPr>
              <w:pStyle w:val="TableParagraph"/>
              <w:numPr>
                <w:ilvl w:val="0"/>
                <w:numId w:val="30"/>
              </w:numPr>
              <w:jc w:val="both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AU"/>
              </w:rPr>
            </w:pPr>
            <w:r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Access must be restricted to authori</w:t>
            </w:r>
            <w:r w:rsidR="007F72B1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s</w:t>
            </w:r>
            <w:r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ed personnel.</w:t>
            </w:r>
          </w:p>
        </w:tc>
      </w:tr>
      <w:tr w:rsidR="00F62810" w:rsidRPr="00F62810" w14:paraId="655AE327" w14:textId="77777777" w:rsidTr="7731A6EF">
        <w:trPr>
          <w:trHeight w:val="465"/>
        </w:trPr>
        <w:tc>
          <w:tcPr>
            <w:tcW w:w="1006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5A360496" w14:textId="245200C9" w:rsidR="00F62810" w:rsidRPr="00F62810" w:rsidRDefault="00F62810" w:rsidP="00F62810">
            <w:pPr>
              <w:pStyle w:val="TableParagraph"/>
              <w:numPr>
                <w:ilvl w:val="0"/>
                <w:numId w:val="30"/>
              </w:numPr>
              <w:jc w:val="both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val="en-AU"/>
              </w:rPr>
            </w:pPr>
            <w:r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Entrance doors must remain closed while work is in progress.</w:t>
            </w:r>
          </w:p>
        </w:tc>
      </w:tr>
      <w:tr w:rsidR="000025B6" w:rsidRPr="00F62810" w14:paraId="4E9F34AE" w14:textId="77777777" w:rsidTr="7731A6EF">
        <w:trPr>
          <w:trHeight w:val="465"/>
        </w:trPr>
        <w:tc>
          <w:tcPr>
            <w:tcW w:w="1006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2624034C" w14:textId="39DD9FC4" w:rsidR="000025B6" w:rsidRPr="00AD4188" w:rsidRDefault="000025B6" w:rsidP="00F62810">
            <w:pPr>
              <w:pStyle w:val="TableParagraph"/>
              <w:numPr>
                <w:ilvl w:val="0"/>
                <w:numId w:val="30"/>
              </w:numPr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Rear-fastening l</w:t>
            </w:r>
            <w:r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 xml:space="preserve">aboratory gowns must be worn when working in the 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facility</w:t>
            </w:r>
            <w:r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 xml:space="preserve"> and removed before leaving the 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facility.</w:t>
            </w:r>
          </w:p>
        </w:tc>
      </w:tr>
      <w:tr w:rsidR="00F62810" w:rsidRPr="00F62810" w14:paraId="46E5AD78" w14:textId="77777777" w:rsidTr="7731A6EF">
        <w:trPr>
          <w:trHeight w:val="465"/>
        </w:trPr>
        <w:tc>
          <w:tcPr>
            <w:tcW w:w="1006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6AC94840" w14:textId="66136316" w:rsidR="00F62810" w:rsidRPr="00F62810" w:rsidRDefault="00F62810" w:rsidP="00F62810">
            <w:pPr>
              <w:pStyle w:val="TableParagraph"/>
              <w:numPr>
                <w:ilvl w:val="0"/>
                <w:numId w:val="30"/>
              </w:numPr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Lab books and papers must be stored away from workbenches.</w:t>
            </w:r>
          </w:p>
        </w:tc>
      </w:tr>
      <w:tr w:rsidR="00F62810" w:rsidRPr="00F62810" w14:paraId="581C1D10" w14:textId="77777777" w:rsidTr="7731A6EF">
        <w:trPr>
          <w:trHeight w:val="465"/>
        </w:trPr>
        <w:tc>
          <w:tcPr>
            <w:tcW w:w="1006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743CB5EC" w14:textId="0974B574" w:rsidR="00F62810" w:rsidRPr="00F62810" w:rsidRDefault="00F62810" w:rsidP="00F62810">
            <w:pPr>
              <w:pStyle w:val="TableParagraph"/>
              <w:numPr>
                <w:ilvl w:val="0"/>
                <w:numId w:val="30"/>
              </w:numPr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 xml:space="preserve">Work with specimens that pose an aerosol risk must be conducted in a </w:t>
            </w:r>
            <w:r w:rsidR="00B54605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BSCII</w:t>
            </w:r>
            <w:r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.</w:t>
            </w:r>
          </w:p>
        </w:tc>
      </w:tr>
      <w:tr w:rsidR="00F62810" w:rsidRPr="00F62810" w14:paraId="46F56FC9" w14:textId="77777777" w:rsidTr="7731A6EF">
        <w:trPr>
          <w:trHeight w:val="465"/>
        </w:trPr>
        <w:tc>
          <w:tcPr>
            <w:tcW w:w="1006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4993D23E" w14:textId="5D61E0CE" w:rsidR="00F62810" w:rsidRPr="00F62810" w:rsidRDefault="00F62810" w:rsidP="00F62810">
            <w:pPr>
              <w:pStyle w:val="TableParagraph"/>
              <w:numPr>
                <w:ilvl w:val="0"/>
                <w:numId w:val="30"/>
              </w:numPr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 xml:space="preserve">Gloves must be worn when working in a </w:t>
            </w:r>
            <w:r w:rsidR="00B54605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BSCII</w:t>
            </w:r>
            <w:r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 xml:space="preserve"> or handling infectious materials.</w:t>
            </w:r>
          </w:p>
        </w:tc>
      </w:tr>
      <w:tr w:rsidR="00F62810" w:rsidRPr="00F62810" w14:paraId="169FB8D2" w14:textId="77777777" w:rsidTr="7731A6EF">
        <w:trPr>
          <w:trHeight w:val="465"/>
        </w:trPr>
        <w:tc>
          <w:tcPr>
            <w:tcW w:w="1006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50CE5500" w14:textId="0EFA2B7C" w:rsidR="00F62810" w:rsidRPr="00F62810" w:rsidRDefault="00F62810" w:rsidP="00F62810">
            <w:pPr>
              <w:pStyle w:val="TableParagraph"/>
              <w:numPr>
                <w:ilvl w:val="0"/>
                <w:numId w:val="30"/>
              </w:numPr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Infectious waste must be properly labelled and safely stored until</w:t>
            </w:r>
            <w:r w:rsidR="00B54605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 xml:space="preserve"> </w:t>
            </w:r>
            <w:r w:rsidR="00BE352E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treated</w:t>
            </w:r>
            <w:r w:rsidR="00B54605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 xml:space="preserve"> or</w:t>
            </w:r>
            <w:r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 xml:space="preserve"> removed for disposal.</w:t>
            </w:r>
          </w:p>
        </w:tc>
      </w:tr>
      <w:tr w:rsidR="00A35ADF" w:rsidRPr="00F62810" w14:paraId="30D498C5" w14:textId="77777777" w:rsidTr="7731A6EF">
        <w:trPr>
          <w:trHeight w:val="465"/>
        </w:trPr>
        <w:tc>
          <w:tcPr>
            <w:tcW w:w="1006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26694DA6" w14:textId="2129D1A8" w:rsidR="00A35ADF" w:rsidRPr="00CB17A3" w:rsidRDefault="00A35ADF" w:rsidP="00F62810">
            <w:pPr>
              <w:pStyle w:val="TableParagraph"/>
              <w:numPr>
                <w:ilvl w:val="0"/>
                <w:numId w:val="30"/>
              </w:numPr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8B1934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 xml:space="preserve">Waste </w:t>
            </w:r>
            <w:r w:rsidR="000309B9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 xml:space="preserve">treatment </w:t>
            </w:r>
            <w:r w:rsidRPr="008B1934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processes that include heat, pressure, chemicals, or a combination of these parameters, to achieve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 xml:space="preserve"> </w:t>
            </w:r>
            <w:r w:rsidRPr="006856DA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decontamination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,</w:t>
            </w:r>
            <w:r w:rsidRPr="006856DA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 xml:space="preserve"> shall be periodically validated to ensure ongoing efficacy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 xml:space="preserve"> and records maintained for a minimum of 12 months</w:t>
            </w:r>
            <w:r w:rsidR="000309B9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.</w:t>
            </w:r>
          </w:p>
        </w:tc>
      </w:tr>
      <w:tr w:rsidR="00F62810" w:rsidRPr="00F62810" w14:paraId="7E2ACFA2" w14:textId="77777777" w:rsidTr="7731A6EF">
        <w:trPr>
          <w:trHeight w:val="465"/>
        </w:trPr>
        <w:tc>
          <w:tcPr>
            <w:tcW w:w="1006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0881FF46" w14:textId="2E62F60F" w:rsidR="00F62810" w:rsidRPr="00F62810" w:rsidRDefault="00CB17A3" w:rsidP="00F62810">
            <w:pPr>
              <w:pStyle w:val="TableParagraph"/>
              <w:numPr>
                <w:ilvl w:val="0"/>
                <w:numId w:val="30"/>
              </w:numPr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CB17A3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When an autoclave is used for decontaminating infectious waste, each load must be monitored to ensure proper sterili</w:t>
            </w:r>
            <w:r w:rsidR="004E74B9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s</w:t>
            </w:r>
            <w:r w:rsidRPr="00CB17A3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ation. The autoclave must undergo monthly spore</w:t>
            </w:r>
            <w:r w:rsidR="00E524DC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 xml:space="preserve"> strip</w:t>
            </w:r>
            <w:r w:rsidRPr="00CB17A3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 xml:space="preserve"> testing to verify its effectiveness, and annual calibration and maintenance to ensure continued reliability.</w:t>
            </w:r>
          </w:p>
        </w:tc>
      </w:tr>
      <w:tr w:rsidR="00F62810" w:rsidRPr="00F62810" w14:paraId="1851A257" w14:textId="77777777" w:rsidTr="7731A6EF">
        <w:trPr>
          <w:trHeight w:val="465"/>
        </w:trPr>
        <w:tc>
          <w:tcPr>
            <w:tcW w:w="1006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4B6C6453" w14:textId="76EC549D" w:rsidR="00F62810" w:rsidRPr="00F62810" w:rsidRDefault="00CB17A3" w:rsidP="00F62810">
            <w:pPr>
              <w:pStyle w:val="TableParagraph"/>
              <w:numPr>
                <w:ilvl w:val="0"/>
                <w:numId w:val="30"/>
              </w:numPr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CB17A3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When handling infectious materials, a centrifuge with sealed rotors or buckets must be used to prevent aerosol release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.</w:t>
            </w:r>
          </w:p>
        </w:tc>
      </w:tr>
      <w:tr w:rsidR="00F62810" w:rsidRPr="00F62810" w14:paraId="17D985DF" w14:textId="77777777" w:rsidTr="7731A6EF">
        <w:trPr>
          <w:trHeight w:val="465"/>
        </w:trPr>
        <w:tc>
          <w:tcPr>
            <w:tcW w:w="1006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0D51D809" w14:textId="25867844" w:rsidR="00F62810" w:rsidRPr="00F62810" w:rsidRDefault="008D086B" w:rsidP="00F62810">
            <w:pPr>
              <w:pStyle w:val="TableParagraph"/>
              <w:numPr>
                <w:ilvl w:val="0"/>
                <w:numId w:val="30"/>
              </w:numPr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Facility</w:t>
            </w:r>
            <w:r w:rsidRPr="00CB17A3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 xml:space="preserve"> </w:t>
            </w:r>
            <w:r w:rsidR="00CB17A3" w:rsidRPr="00CB17A3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personnel must receive instruction and training in the safe handling of infectious agents, with regular updates to ensure ongoing competency</w:t>
            </w:r>
            <w:r w:rsidR="00CB17A3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.</w:t>
            </w:r>
          </w:p>
        </w:tc>
      </w:tr>
      <w:tr w:rsidR="00F62810" w:rsidRPr="00F62810" w14:paraId="4C07BE5F" w14:textId="77777777" w:rsidTr="7731A6EF">
        <w:trPr>
          <w:trHeight w:val="465"/>
        </w:trPr>
        <w:tc>
          <w:tcPr>
            <w:tcW w:w="1006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623FFE32" w14:textId="32C081E0" w:rsidR="00F62810" w:rsidRPr="00F62810" w:rsidRDefault="00F62810" w:rsidP="00F62810">
            <w:pPr>
              <w:pStyle w:val="TableParagraph"/>
              <w:numPr>
                <w:ilvl w:val="0"/>
                <w:numId w:val="30"/>
              </w:numPr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The use of sharps (needles, syringes, scalpels) must be minimi</w:t>
            </w:r>
            <w:r w:rsidR="00A96ECC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s</w:t>
            </w:r>
            <w:r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ed. All sharps must be disposed of in designated sharps containers.</w:t>
            </w:r>
          </w:p>
        </w:tc>
      </w:tr>
      <w:tr w:rsidR="00F62810" w:rsidRPr="00F62810" w14:paraId="1D5E7138" w14:textId="77777777" w:rsidTr="7731A6EF">
        <w:trPr>
          <w:trHeight w:val="465"/>
        </w:trPr>
        <w:tc>
          <w:tcPr>
            <w:tcW w:w="1006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2608096D" w14:textId="1E43388E" w:rsidR="00F62810" w:rsidRPr="00F62810" w:rsidRDefault="00F62810" w:rsidP="00F62810">
            <w:pPr>
              <w:pStyle w:val="TableParagraph"/>
              <w:numPr>
                <w:ilvl w:val="0"/>
                <w:numId w:val="30"/>
              </w:numPr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Glassware must be substituted with plasticware where possible.</w:t>
            </w:r>
          </w:p>
        </w:tc>
      </w:tr>
      <w:tr w:rsidR="00F62810" w:rsidRPr="00F62810" w14:paraId="5E7B8911" w14:textId="77777777" w:rsidTr="7731A6EF">
        <w:trPr>
          <w:trHeight w:val="465"/>
        </w:trPr>
        <w:tc>
          <w:tcPr>
            <w:tcW w:w="1006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2AB0DF84" w14:textId="20547EF1" w:rsidR="00F62810" w:rsidRPr="00F62810" w:rsidRDefault="00F62810" w:rsidP="00F62810">
            <w:pPr>
              <w:pStyle w:val="TableParagraph"/>
              <w:numPr>
                <w:ilvl w:val="0"/>
                <w:numId w:val="30"/>
              </w:numPr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Bacterial cultures must not be sniffed for odours.</w:t>
            </w:r>
          </w:p>
        </w:tc>
      </w:tr>
      <w:tr w:rsidR="00F62810" w:rsidRPr="00F62810" w14:paraId="5A5B208A" w14:textId="77777777" w:rsidTr="7731A6EF">
        <w:trPr>
          <w:trHeight w:val="465"/>
        </w:trPr>
        <w:tc>
          <w:tcPr>
            <w:tcW w:w="1006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5642C3B7" w14:textId="6496AD34" w:rsidR="00F62810" w:rsidRPr="00F62810" w:rsidRDefault="00F62810" w:rsidP="00F62810">
            <w:pPr>
              <w:pStyle w:val="TableParagraph"/>
              <w:numPr>
                <w:ilvl w:val="0"/>
                <w:numId w:val="30"/>
              </w:numPr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AD418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AU" w:eastAsia="en-AU"/>
              </w:rPr>
              <w:lastRenderedPageBreak/>
              <w:t>Animal Facilities</w:t>
            </w:r>
            <w:r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: Training on the care and handling of animals must be provided for all personnel, and appropriate PPE must be worn during animal handling.</w:t>
            </w:r>
          </w:p>
        </w:tc>
      </w:tr>
      <w:tr w:rsidR="00F62810" w:rsidRPr="00F62810" w14:paraId="594456EB" w14:textId="77777777" w:rsidTr="7731A6EF">
        <w:trPr>
          <w:trHeight w:val="465"/>
        </w:trPr>
        <w:tc>
          <w:tcPr>
            <w:tcW w:w="1006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0C05E58F" w14:textId="037F92F0" w:rsidR="00F62810" w:rsidRPr="00F62810" w:rsidRDefault="00F62810" w:rsidP="00F62810">
            <w:pPr>
              <w:pStyle w:val="TableParagraph"/>
              <w:numPr>
                <w:ilvl w:val="0"/>
                <w:numId w:val="30"/>
              </w:numPr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</w:pPr>
            <w:r w:rsidRPr="00AD418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AU" w:eastAsia="en-AU"/>
              </w:rPr>
              <w:t>Aquatic Facilities</w:t>
            </w:r>
            <w:r w:rsidRPr="00AD4188">
              <w:rPr>
                <w:rFonts w:asciiTheme="minorHAnsi" w:eastAsia="Times New Roman" w:hAnsiTheme="minorHAnsi" w:cstheme="minorHAnsi"/>
                <w:sz w:val="20"/>
                <w:szCs w:val="20"/>
                <w:lang w:val="en-AU" w:eastAsia="en-AU"/>
              </w:rPr>
              <w:t>: Safe handling protocols for aquatic species, including PPE and risk assessment for working with potentially harmful aquatic organisms, must be implemented.</w:t>
            </w:r>
          </w:p>
        </w:tc>
      </w:tr>
    </w:tbl>
    <w:p w14:paraId="00E5976E" w14:textId="77777777" w:rsidR="002F52DF" w:rsidRDefault="002F52DF" w:rsidP="00144850">
      <w:pPr>
        <w:jc w:val="both"/>
      </w:pPr>
    </w:p>
    <w:p w14:paraId="2768FE12" w14:textId="77777777" w:rsidR="0010336C" w:rsidRPr="0010336C" w:rsidRDefault="0010336C" w:rsidP="00115B71"/>
    <w:p w14:paraId="355666B9" w14:textId="77777777" w:rsidR="0010336C" w:rsidRPr="0010336C" w:rsidRDefault="0010336C" w:rsidP="00115B71"/>
    <w:p w14:paraId="3FD6D3A9" w14:textId="77777777" w:rsidR="0010336C" w:rsidRPr="0010336C" w:rsidRDefault="0010336C" w:rsidP="00115B71"/>
    <w:p w14:paraId="4740488C" w14:textId="6EA43162" w:rsidR="0010336C" w:rsidRPr="0010336C" w:rsidRDefault="0010336C" w:rsidP="00115B71">
      <w:pPr>
        <w:tabs>
          <w:tab w:val="left" w:pos="3225"/>
          <w:tab w:val="center" w:pos="5046"/>
        </w:tabs>
      </w:pPr>
      <w:r>
        <w:tab/>
      </w:r>
      <w:r>
        <w:tab/>
      </w:r>
    </w:p>
    <w:sectPr w:rsidR="0010336C" w:rsidRPr="0010336C" w:rsidSect="00F17662">
      <w:footerReference w:type="default" r:id="rId12"/>
      <w:headerReference w:type="first" r:id="rId13"/>
      <w:footerReference w:type="first" r:id="rId14"/>
      <w:pgSz w:w="11906" w:h="16838"/>
      <w:pgMar w:top="748" w:right="907" w:bottom="510" w:left="90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548DF" w14:textId="77777777" w:rsidR="00757082" w:rsidRDefault="00757082" w:rsidP="003261BE">
      <w:r>
        <w:separator/>
      </w:r>
    </w:p>
  </w:endnote>
  <w:endnote w:type="continuationSeparator" w:id="0">
    <w:p w14:paraId="053F7056" w14:textId="77777777" w:rsidR="00757082" w:rsidRDefault="00757082" w:rsidP="003261BE">
      <w:r>
        <w:continuationSeparator/>
      </w:r>
    </w:p>
  </w:endnote>
  <w:endnote w:type="continuationNotice" w:id="1">
    <w:p w14:paraId="43A1593E" w14:textId="77777777" w:rsidR="00757082" w:rsidRDefault="0075708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imes New Roman (Headings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imes New Roman (Body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3CA90" w14:textId="77777777" w:rsidR="0000509C" w:rsidRDefault="0000509C" w:rsidP="00311CB4">
    <w:pPr>
      <w:pStyle w:val="Footer"/>
      <w:tabs>
        <w:tab w:val="clear" w:pos="4513"/>
        <w:tab w:val="clear" w:pos="9026"/>
        <w:tab w:val="right" w:pos="992"/>
        <w:tab w:val="left" w:pos="6096"/>
        <w:tab w:val="right" w:pos="10065"/>
      </w:tabs>
      <w:ind w:left="-142" w:right="-280"/>
      <w:rPr>
        <w:rFonts w:cs="Arial"/>
        <w:sz w:val="18"/>
        <w:szCs w:val="18"/>
        <w:lang w:val="en-US"/>
      </w:rPr>
    </w:pPr>
  </w:p>
  <w:p w14:paraId="6249EE79" w14:textId="29308D27" w:rsidR="001F31ED" w:rsidRPr="00841E02" w:rsidRDefault="00E0042C" w:rsidP="00311CB4">
    <w:pPr>
      <w:pStyle w:val="Footer"/>
      <w:tabs>
        <w:tab w:val="clear" w:pos="4513"/>
        <w:tab w:val="clear" w:pos="9026"/>
        <w:tab w:val="right" w:pos="992"/>
        <w:tab w:val="left" w:pos="6096"/>
        <w:tab w:val="right" w:pos="10065"/>
      </w:tabs>
      <w:ind w:left="-142" w:right="-280"/>
      <w:rPr>
        <w:rFonts w:cs="Arial"/>
        <w:sz w:val="18"/>
        <w:szCs w:val="18"/>
      </w:rPr>
    </w:pPr>
    <w:r>
      <w:rPr>
        <w:b/>
        <w:bCs/>
        <w:noProof/>
      </w:rPr>
      <w:drawing>
        <wp:anchor distT="0" distB="0" distL="114300" distR="114300" simplePos="0" relativeHeight="251658241" behindDoc="1" locked="0" layoutInCell="1" allowOverlap="1" wp14:anchorId="05707B1B" wp14:editId="472F6239">
          <wp:simplePos x="0" y="0"/>
          <wp:positionH relativeFrom="column">
            <wp:posOffset>-226685</wp:posOffset>
          </wp:positionH>
          <wp:positionV relativeFrom="page">
            <wp:posOffset>9883302</wp:posOffset>
          </wp:positionV>
          <wp:extent cx="1381121" cy="643743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121" cy="6437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1E02" w:rsidRPr="00EE5E8A">
      <w:rPr>
        <w:rFonts w:cs="Arial"/>
        <w:sz w:val="18"/>
        <w:szCs w:val="18"/>
        <w:lang w:val="en-US"/>
      </w:rPr>
      <w:t xml:space="preserve">  </w:t>
    </w:r>
    <w:r w:rsidR="00311CB4">
      <w:rPr>
        <w:rFonts w:cs="Arial"/>
        <w:sz w:val="18"/>
        <w:szCs w:val="18"/>
        <w:lang w:val="en-US"/>
      </w:rPr>
      <w:tab/>
      <w:t xml:space="preserve">                                   </w:t>
    </w:r>
    <w:r w:rsidR="00CB77D6">
      <w:rPr>
        <w:rFonts w:cs="Arial"/>
        <w:sz w:val="18"/>
        <w:szCs w:val="18"/>
        <w:lang w:val="en-US"/>
      </w:rPr>
      <w:t xml:space="preserve">       </w:t>
    </w:r>
    <w:r w:rsidR="00311CB4">
      <w:rPr>
        <w:rFonts w:cs="Arial"/>
        <w:sz w:val="18"/>
        <w:szCs w:val="18"/>
        <w:lang w:val="en-US"/>
      </w:rPr>
      <w:t xml:space="preserve"> </w:t>
    </w:r>
    <w:r w:rsidR="00CB77D6" w:rsidRPr="00115B71">
      <w:rPr>
        <w:rFonts w:cs="Arial"/>
        <w:b/>
        <w:bCs/>
        <w:sz w:val="18"/>
        <w:szCs w:val="18"/>
        <w:lang w:val="en-US"/>
      </w:rPr>
      <w:t>BI013</w:t>
    </w:r>
    <w:r w:rsidR="00CB77D6">
      <w:rPr>
        <w:rFonts w:cs="Arial"/>
        <w:sz w:val="18"/>
        <w:szCs w:val="18"/>
        <w:lang w:val="en-US"/>
      </w:rPr>
      <w:t>:</w:t>
    </w:r>
    <w:r w:rsidR="00CB77D6" w:rsidRPr="00692B2C">
      <w:rPr>
        <w:rFonts w:cs="Arial"/>
        <w:sz w:val="18"/>
        <w:szCs w:val="18"/>
        <w:lang w:val="en-US"/>
      </w:rPr>
      <w:t xml:space="preserve"> Requirements for Biocontainment Facilities</w:t>
    </w:r>
    <w:r w:rsidR="00CB77D6" w:rsidRPr="00692B2C">
      <w:rPr>
        <w:rFonts w:ascii="Times New Roman" w:hAnsi="Times New Roman"/>
        <w:lang w:val="en-US"/>
      </w:rPr>
      <w:t xml:space="preserve"> </w:t>
    </w:r>
    <w:r w:rsidR="00CB77D6">
      <w:rPr>
        <w:rFonts w:cs="Arial"/>
        <w:sz w:val="18"/>
        <w:szCs w:val="18"/>
        <w:lang w:val="en-US"/>
      </w:rPr>
      <w:t xml:space="preserve">– Version 2.0 – Oct </w:t>
    </w:r>
    <w:proofErr w:type="gramStart"/>
    <w:r w:rsidR="00CB77D6">
      <w:rPr>
        <w:rFonts w:cs="Arial"/>
        <w:sz w:val="18"/>
        <w:szCs w:val="18"/>
        <w:lang w:val="en-US"/>
      </w:rPr>
      <w:t xml:space="preserve">2024 </w:t>
    </w:r>
    <w:r w:rsidR="00841E02">
      <w:rPr>
        <w:rFonts w:cs="Arial"/>
        <w:sz w:val="18"/>
        <w:szCs w:val="18"/>
        <w:lang w:val="en-US"/>
      </w:rPr>
      <w:t xml:space="preserve"> </w:t>
    </w:r>
    <w:r w:rsidR="00311CB4">
      <w:rPr>
        <w:rFonts w:cs="Arial"/>
        <w:sz w:val="18"/>
        <w:szCs w:val="18"/>
        <w:lang w:val="en-US"/>
      </w:rPr>
      <w:tab/>
    </w:r>
    <w:proofErr w:type="gramEnd"/>
    <w:r w:rsidR="00841E02" w:rsidRPr="00EE5E8A">
      <w:rPr>
        <w:rFonts w:cs="Arial"/>
        <w:sz w:val="18"/>
        <w:szCs w:val="18"/>
        <w:lang w:val="en-US"/>
      </w:rPr>
      <w:t xml:space="preserve">Page </w:t>
    </w:r>
    <w:r w:rsidR="00841E02" w:rsidRPr="00EE5E8A">
      <w:rPr>
        <w:rFonts w:cs="Arial"/>
        <w:sz w:val="18"/>
        <w:szCs w:val="18"/>
        <w:lang w:val="en-US"/>
      </w:rPr>
      <w:fldChar w:fldCharType="begin"/>
    </w:r>
    <w:r w:rsidR="00841E02" w:rsidRPr="00EE5E8A">
      <w:rPr>
        <w:rFonts w:cs="Arial"/>
        <w:sz w:val="18"/>
        <w:szCs w:val="18"/>
        <w:lang w:val="en-US"/>
      </w:rPr>
      <w:instrText xml:space="preserve"> PAGE </w:instrText>
    </w:r>
    <w:r w:rsidR="00841E02" w:rsidRPr="00EE5E8A">
      <w:rPr>
        <w:rFonts w:cs="Arial"/>
        <w:sz w:val="18"/>
        <w:szCs w:val="18"/>
        <w:lang w:val="en-US"/>
      </w:rPr>
      <w:fldChar w:fldCharType="separate"/>
    </w:r>
    <w:r w:rsidR="00841E02">
      <w:rPr>
        <w:rFonts w:cs="Arial"/>
        <w:sz w:val="18"/>
        <w:szCs w:val="18"/>
        <w:lang w:val="en-US"/>
      </w:rPr>
      <w:t>2</w:t>
    </w:r>
    <w:r w:rsidR="00841E02" w:rsidRPr="00EE5E8A">
      <w:rPr>
        <w:rFonts w:cs="Arial"/>
        <w:sz w:val="18"/>
        <w:szCs w:val="18"/>
        <w:lang w:val="en-US"/>
      </w:rPr>
      <w:fldChar w:fldCharType="end"/>
    </w:r>
    <w:r w:rsidR="00841E02" w:rsidRPr="00EE5E8A">
      <w:rPr>
        <w:rFonts w:cs="Arial"/>
        <w:sz w:val="18"/>
        <w:szCs w:val="18"/>
        <w:lang w:val="en-US"/>
      </w:rPr>
      <w:t xml:space="preserve"> of </w:t>
    </w:r>
    <w:r w:rsidR="00841E02" w:rsidRPr="00EE5E8A">
      <w:rPr>
        <w:rFonts w:cs="Arial"/>
        <w:sz w:val="18"/>
        <w:szCs w:val="18"/>
        <w:lang w:val="en-US"/>
      </w:rPr>
      <w:fldChar w:fldCharType="begin"/>
    </w:r>
    <w:r w:rsidR="00841E02" w:rsidRPr="00EE5E8A">
      <w:rPr>
        <w:rFonts w:cs="Arial"/>
        <w:sz w:val="18"/>
        <w:szCs w:val="18"/>
        <w:lang w:val="en-US"/>
      </w:rPr>
      <w:instrText xml:space="preserve"> NUMPAGES </w:instrText>
    </w:r>
    <w:r w:rsidR="00841E02" w:rsidRPr="00EE5E8A">
      <w:rPr>
        <w:rFonts w:cs="Arial"/>
        <w:sz w:val="18"/>
        <w:szCs w:val="18"/>
        <w:lang w:val="en-US"/>
      </w:rPr>
      <w:fldChar w:fldCharType="separate"/>
    </w:r>
    <w:r w:rsidR="00841E02">
      <w:rPr>
        <w:rFonts w:cs="Arial"/>
        <w:sz w:val="18"/>
        <w:szCs w:val="18"/>
        <w:lang w:val="en-US"/>
      </w:rPr>
      <w:t>3</w:t>
    </w:r>
    <w:r w:rsidR="00841E02" w:rsidRPr="00EE5E8A">
      <w:rPr>
        <w:rFonts w:cs="Arial"/>
        <w:sz w:val="18"/>
        <w:szCs w:val="18"/>
        <w:lang w:val="en-US"/>
      </w:rPr>
      <w:fldChar w:fldCharType="end"/>
    </w:r>
    <w:r w:rsidR="00841E02">
      <w:rPr>
        <w:rFonts w:cs="Arial"/>
        <w:sz w:val="18"/>
        <w:szCs w:val="18"/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55161" w14:textId="2BDEEFA1" w:rsidR="00A63327" w:rsidRPr="00A63327" w:rsidRDefault="00D65A0E" w:rsidP="00A63327">
    <w:pPr>
      <w:pStyle w:val="Footer"/>
      <w:tabs>
        <w:tab w:val="clear" w:pos="4513"/>
        <w:tab w:val="clear" w:pos="9026"/>
        <w:tab w:val="right" w:pos="992"/>
        <w:tab w:val="right" w:pos="10065"/>
      </w:tabs>
      <w:ind w:left="-142" w:right="-280"/>
      <w:rPr>
        <w:rFonts w:cs="Arial"/>
        <w:sz w:val="18"/>
        <w:szCs w:val="18"/>
      </w:rPr>
    </w:pPr>
    <w:r w:rsidRPr="00115B71">
      <w:rPr>
        <w:rFonts w:cs="Arial"/>
        <w:noProof/>
        <w:sz w:val="18"/>
        <w:szCs w:val="18"/>
        <w:lang w:val="en-GB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076FFA62" wp14:editId="6DE544E2">
              <wp:simplePos x="0" y="0"/>
              <wp:positionH relativeFrom="column">
                <wp:posOffset>-8792</wp:posOffset>
              </wp:positionH>
              <wp:positionV relativeFrom="paragraph">
                <wp:posOffset>165100</wp:posOffset>
              </wp:positionV>
              <wp:extent cx="6726115" cy="194945"/>
              <wp:effectExtent l="0" t="0" r="5080" b="825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26115" cy="1949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F9096A7" w14:textId="77777777" w:rsidR="00085D91" w:rsidRPr="003307E1" w:rsidRDefault="00085D91" w:rsidP="00085D91">
                          <w:pPr>
                            <w:rPr>
                              <w:rFonts w:cs="Times New Roman (Body CS)"/>
                              <w:color w:val="404040" w:themeColor="text1" w:themeTint="BF"/>
                              <w:spacing w:val="-3"/>
                              <w:sz w:val="13"/>
                              <w:szCs w:val="13"/>
                            </w:rPr>
                          </w:pPr>
                          <w:r w:rsidRPr="003307E1">
                            <w:rPr>
                              <w:rFonts w:cs="Times New Roman (Body CS)"/>
                              <w:color w:val="404040" w:themeColor="text1" w:themeTint="BF"/>
                              <w:spacing w:val="-3"/>
                              <w:sz w:val="13"/>
                              <w:szCs w:val="13"/>
                            </w:rPr>
                            <w:t>Copyright ©</w:t>
                          </w:r>
                          <w:r w:rsidR="000511D0">
                            <w:rPr>
                              <w:rFonts w:cs="Times New Roman (Body CS)"/>
                              <w:color w:val="404040" w:themeColor="text1" w:themeTint="BF"/>
                              <w:spacing w:val="-3"/>
                              <w:sz w:val="13"/>
                              <w:szCs w:val="13"/>
                            </w:rPr>
                            <w:t xml:space="preserve"> </w:t>
                          </w:r>
                          <w:r w:rsidRPr="003307E1">
                            <w:rPr>
                              <w:rFonts w:cs="Times New Roman (Body CS)"/>
                              <w:color w:val="404040" w:themeColor="text1" w:themeTint="BF"/>
                              <w:spacing w:val="-3"/>
                              <w:sz w:val="13"/>
                              <w:szCs w:val="13"/>
                            </w:rPr>
                            <w:t>Victoria University, CRICOS No. 00124K (Melbourne), 02475D (Sydney and Brisbane), RTO 3113, TEQSA No. PRV12152, Provider Category: Australian University</w:t>
                          </w:r>
                        </w:p>
                        <w:p w14:paraId="38F04495" w14:textId="77777777" w:rsidR="00D65A0E" w:rsidRPr="00BA6443" w:rsidRDefault="00D65A0E" w:rsidP="00D65A0E">
                          <w:pPr>
                            <w:rPr>
                              <w:color w:val="404040" w:themeColor="text1" w:themeTint="BF"/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6FFA6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.7pt;margin-top:13pt;width:529.6pt;height:15.3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" filled="f" stroked="f" strokeweight=".5pt">
              <v:textbox inset="0,0,0,0">
                <w:txbxContent>
                  <w:p w14:paraId="0F9096A7" w14:textId="77777777" w:rsidR="00085D91" w:rsidRPr="003307E1" w:rsidRDefault="00085D91" w:rsidP="00085D91">
                    <w:pPr>
                      <w:rPr>
                        <w:rFonts w:cs="Times New Roman (Body CS)"/>
                        <w:color w:val="404040" w:themeColor="text1" w:themeTint="BF"/>
                        <w:spacing w:val="-3"/>
                        <w:sz w:val="13"/>
                        <w:szCs w:val="13"/>
                      </w:rPr>
                    </w:pPr>
                    <w:r w:rsidRPr="003307E1">
                      <w:rPr>
                        <w:rFonts w:cs="Times New Roman (Body CS)"/>
                        <w:color w:val="404040" w:themeColor="text1" w:themeTint="BF"/>
                        <w:spacing w:val="-3"/>
                        <w:sz w:val="13"/>
                        <w:szCs w:val="13"/>
                      </w:rPr>
                      <w:t>Copyright ©</w:t>
                    </w:r>
                    <w:r w:rsidR="000511D0">
                      <w:rPr>
                        <w:rFonts w:cs="Times New Roman (Body CS)"/>
                        <w:color w:val="404040" w:themeColor="text1" w:themeTint="BF"/>
                        <w:spacing w:val="-3"/>
                        <w:sz w:val="13"/>
                        <w:szCs w:val="13"/>
                      </w:rPr>
                      <w:t xml:space="preserve"> </w:t>
                    </w:r>
                    <w:r w:rsidRPr="003307E1">
                      <w:rPr>
                        <w:rFonts w:cs="Times New Roman (Body CS)"/>
                        <w:color w:val="404040" w:themeColor="text1" w:themeTint="BF"/>
                        <w:spacing w:val="-3"/>
                        <w:sz w:val="13"/>
                        <w:szCs w:val="13"/>
                      </w:rPr>
                      <w:t>Victoria University, CRICOS No. 00124K (Melbourne), 02475D (Sydney and Brisbane), RTO 3113, TEQSA No. PRV12152, Provider Category: Australian University</w:t>
                    </w:r>
                  </w:p>
                  <w:p w14:paraId="38F04495" w14:textId="77777777" w:rsidR="00D65A0E" w:rsidRPr="00BA6443" w:rsidRDefault="00D65A0E" w:rsidP="00D65A0E">
                    <w:pPr>
                      <w:rPr>
                        <w:color w:val="404040" w:themeColor="text1" w:themeTint="BF"/>
                        <w:sz w:val="13"/>
                        <w:szCs w:val="13"/>
                      </w:rPr>
                    </w:pPr>
                  </w:p>
                </w:txbxContent>
              </v:textbox>
            </v:shape>
          </w:pict>
        </mc:Fallback>
      </mc:AlternateContent>
    </w:r>
    <w:r w:rsidR="00A63327" w:rsidRPr="00115B71">
      <w:rPr>
        <w:rFonts w:cs="Arial"/>
        <w:sz w:val="18"/>
        <w:szCs w:val="18"/>
        <w:lang w:val="en-US"/>
      </w:rPr>
      <w:t xml:space="preserve"> </w:t>
    </w:r>
    <w:r w:rsidR="00692B2C">
      <w:rPr>
        <w:rFonts w:cs="Arial"/>
        <w:sz w:val="18"/>
        <w:szCs w:val="18"/>
        <w:lang w:val="en-US"/>
      </w:rPr>
      <w:t>B</w:t>
    </w:r>
    <w:r w:rsidR="00731333">
      <w:rPr>
        <w:rFonts w:cs="Arial"/>
        <w:sz w:val="18"/>
        <w:szCs w:val="18"/>
        <w:lang w:val="en-US"/>
      </w:rPr>
      <w:t>I</w:t>
    </w:r>
    <w:r w:rsidR="00692B2C">
      <w:rPr>
        <w:rFonts w:cs="Arial"/>
        <w:sz w:val="18"/>
        <w:szCs w:val="18"/>
        <w:lang w:val="en-US"/>
      </w:rPr>
      <w:t>0</w:t>
    </w:r>
    <w:r w:rsidR="00731333">
      <w:rPr>
        <w:rFonts w:cs="Arial"/>
        <w:sz w:val="18"/>
        <w:szCs w:val="18"/>
        <w:lang w:val="en-US"/>
      </w:rPr>
      <w:t>13</w:t>
    </w:r>
    <w:r w:rsidR="009D2966">
      <w:rPr>
        <w:rFonts w:cs="Arial"/>
        <w:sz w:val="18"/>
        <w:szCs w:val="18"/>
        <w:lang w:val="en-US"/>
      </w:rPr>
      <w:t>:</w:t>
    </w:r>
    <w:r w:rsidR="00A63327" w:rsidRPr="00115B71">
      <w:rPr>
        <w:rFonts w:cs="Arial"/>
        <w:sz w:val="18"/>
        <w:szCs w:val="18"/>
        <w:lang w:val="en-US"/>
      </w:rPr>
      <w:t xml:space="preserve"> </w:t>
    </w:r>
    <w:r w:rsidR="00692B2C" w:rsidRPr="00115B71">
      <w:rPr>
        <w:rFonts w:cs="Arial"/>
        <w:sz w:val="18"/>
        <w:szCs w:val="18"/>
        <w:lang w:val="en-US"/>
      </w:rPr>
      <w:t>Requirements for Biocontainment Facilities</w:t>
    </w:r>
    <w:r w:rsidR="00692B2C" w:rsidRPr="00692B2C">
      <w:rPr>
        <w:rFonts w:ascii="Times New Roman" w:hAnsi="Times New Roman"/>
        <w:lang w:val="en-US"/>
      </w:rPr>
      <w:t xml:space="preserve"> </w:t>
    </w:r>
    <w:proofErr w:type="gramStart"/>
    <w:r w:rsidR="00A63327">
      <w:rPr>
        <w:rFonts w:cs="Arial"/>
        <w:sz w:val="18"/>
        <w:szCs w:val="18"/>
        <w:lang w:val="en-US"/>
      </w:rPr>
      <w:t xml:space="preserve">–  </w:t>
    </w:r>
    <w:r w:rsidR="009D2966">
      <w:rPr>
        <w:rFonts w:cs="Arial"/>
        <w:sz w:val="18"/>
        <w:szCs w:val="18"/>
        <w:lang w:val="en-US"/>
      </w:rPr>
      <w:t>Version</w:t>
    </w:r>
    <w:proofErr w:type="gramEnd"/>
    <w:r w:rsidR="009D2966">
      <w:rPr>
        <w:rFonts w:cs="Arial"/>
        <w:sz w:val="18"/>
        <w:szCs w:val="18"/>
        <w:lang w:val="en-US"/>
      </w:rPr>
      <w:t xml:space="preserve"> 2.0  –  </w:t>
    </w:r>
    <w:r w:rsidR="00CB77D6">
      <w:rPr>
        <w:rFonts w:cs="Arial"/>
        <w:sz w:val="18"/>
        <w:szCs w:val="18"/>
        <w:lang w:val="en-US"/>
      </w:rPr>
      <w:t>Oct 2024</w:t>
    </w:r>
    <w:r w:rsidR="00A63327">
      <w:rPr>
        <w:rFonts w:cs="Arial"/>
        <w:sz w:val="18"/>
        <w:szCs w:val="18"/>
        <w:lang w:val="en-US"/>
      </w:rPr>
      <w:t xml:space="preserve"> </w:t>
    </w:r>
    <w:r w:rsidR="00A63327">
      <w:rPr>
        <w:rFonts w:cs="Arial"/>
        <w:sz w:val="18"/>
        <w:szCs w:val="18"/>
        <w:lang w:val="en-US"/>
      </w:rPr>
      <w:tab/>
    </w:r>
    <w:r w:rsidR="00A63327" w:rsidRPr="00EE5E8A">
      <w:rPr>
        <w:rFonts w:cs="Arial"/>
        <w:sz w:val="18"/>
        <w:szCs w:val="18"/>
        <w:lang w:val="en-US"/>
      </w:rPr>
      <w:t xml:space="preserve">Page </w:t>
    </w:r>
    <w:r w:rsidR="00A63327" w:rsidRPr="00EE5E8A">
      <w:rPr>
        <w:rFonts w:cs="Arial"/>
        <w:sz w:val="18"/>
        <w:szCs w:val="18"/>
        <w:lang w:val="en-US"/>
      </w:rPr>
      <w:fldChar w:fldCharType="begin"/>
    </w:r>
    <w:r w:rsidR="00A63327" w:rsidRPr="00EE5E8A">
      <w:rPr>
        <w:rFonts w:cs="Arial"/>
        <w:sz w:val="18"/>
        <w:szCs w:val="18"/>
        <w:lang w:val="en-US"/>
      </w:rPr>
      <w:instrText xml:space="preserve"> PAGE </w:instrText>
    </w:r>
    <w:r w:rsidR="00A63327" w:rsidRPr="00EE5E8A">
      <w:rPr>
        <w:rFonts w:cs="Arial"/>
        <w:sz w:val="18"/>
        <w:szCs w:val="18"/>
        <w:lang w:val="en-US"/>
      </w:rPr>
      <w:fldChar w:fldCharType="separate"/>
    </w:r>
    <w:r w:rsidR="00A63327">
      <w:rPr>
        <w:rFonts w:cs="Arial"/>
        <w:sz w:val="18"/>
        <w:szCs w:val="18"/>
      </w:rPr>
      <w:t>1</w:t>
    </w:r>
    <w:r w:rsidR="00A63327" w:rsidRPr="00EE5E8A">
      <w:rPr>
        <w:rFonts w:cs="Arial"/>
        <w:sz w:val="18"/>
        <w:szCs w:val="18"/>
        <w:lang w:val="en-US"/>
      </w:rPr>
      <w:fldChar w:fldCharType="end"/>
    </w:r>
    <w:r w:rsidR="00A63327" w:rsidRPr="00EE5E8A">
      <w:rPr>
        <w:rFonts w:cs="Arial"/>
        <w:sz w:val="18"/>
        <w:szCs w:val="18"/>
        <w:lang w:val="en-US"/>
      </w:rPr>
      <w:t xml:space="preserve"> of </w:t>
    </w:r>
    <w:r w:rsidR="00A63327" w:rsidRPr="00EE5E8A">
      <w:rPr>
        <w:rFonts w:cs="Arial"/>
        <w:sz w:val="18"/>
        <w:szCs w:val="18"/>
        <w:lang w:val="en-US"/>
      </w:rPr>
      <w:fldChar w:fldCharType="begin"/>
    </w:r>
    <w:r w:rsidR="00A63327" w:rsidRPr="00EE5E8A">
      <w:rPr>
        <w:rFonts w:cs="Arial"/>
        <w:sz w:val="18"/>
        <w:szCs w:val="18"/>
        <w:lang w:val="en-US"/>
      </w:rPr>
      <w:instrText xml:space="preserve"> NUMPAGES </w:instrText>
    </w:r>
    <w:r w:rsidR="00A63327" w:rsidRPr="00EE5E8A">
      <w:rPr>
        <w:rFonts w:cs="Arial"/>
        <w:sz w:val="18"/>
        <w:szCs w:val="18"/>
        <w:lang w:val="en-US"/>
      </w:rPr>
      <w:fldChar w:fldCharType="separate"/>
    </w:r>
    <w:r w:rsidR="00A63327">
      <w:rPr>
        <w:rFonts w:cs="Arial"/>
        <w:sz w:val="18"/>
        <w:szCs w:val="18"/>
      </w:rPr>
      <w:t>3</w:t>
    </w:r>
    <w:r w:rsidR="00A63327" w:rsidRPr="00EE5E8A">
      <w:rPr>
        <w:rFonts w:cs="Arial"/>
        <w:sz w:val="18"/>
        <w:szCs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A4122" w14:textId="77777777" w:rsidR="00757082" w:rsidRDefault="00757082" w:rsidP="003261BE">
      <w:r>
        <w:separator/>
      </w:r>
    </w:p>
  </w:footnote>
  <w:footnote w:type="continuationSeparator" w:id="0">
    <w:p w14:paraId="42AAEEB9" w14:textId="77777777" w:rsidR="00757082" w:rsidRDefault="00757082" w:rsidP="003261BE">
      <w:r>
        <w:continuationSeparator/>
      </w:r>
    </w:p>
  </w:footnote>
  <w:footnote w:type="continuationNotice" w:id="1">
    <w:p w14:paraId="1C4F0E9A" w14:textId="77777777" w:rsidR="00757082" w:rsidRDefault="0075708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89E6A" w14:textId="1BA7F535" w:rsidR="001F31ED" w:rsidRPr="00115B71" w:rsidRDefault="00E0042C" w:rsidP="286FC3EA">
    <w:pPr>
      <w:pStyle w:val="Header"/>
      <w:rPr>
        <w:b/>
        <w:bCs/>
      </w:rPr>
    </w:pPr>
    <w:r w:rsidRPr="00115B71">
      <w:rPr>
        <w:b/>
        <w:bCs/>
        <w:noProof/>
        <w:color w:val="5BC2E7"/>
        <w:sz w:val="24"/>
        <w:szCs w:val="24"/>
      </w:rPr>
      <w:drawing>
        <wp:anchor distT="0" distB="0" distL="114300" distR="114300" simplePos="0" relativeHeight="251658240" behindDoc="1" locked="0" layoutInCell="1" allowOverlap="1" wp14:anchorId="7FD7ED02" wp14:editId="19AC70CC">
          <wp:simplePos x="0" y="0"/>
          <wp:positionH relativeFrom="column">
            <wp:posOffset>4655185</wp:posOffset>
          </wp:positionH>
          <wp:positionV relativeFrom="page">
            <wp:posOffset>223520</wp:posOffset>
          </wp:positionV>
          <wp:extent cx="1990800" cy="7380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0800" cy="73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286FC3EA" w:rsidRPr="00B61ED6">
      <w:rPr>
        <w:b/>
        <w:bCs/>
        <w:sz w:val="24"/>
        <w:szCs w:val="24"/>
      </w:rPr>
      <w:t>BI013 v.2.0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7340"/>
    <w:multiLevelType w:val="hybridMultilevel"/>
    <w:tmpl w:val="39A4C384"/>
    <w:lvl w:ilvl="0" w:tplc="D8667FEA">
      <w:numFmt w:val="bullet"/>
      <w:lvlText w:val=""/>
      <w:lvlJc w:val="left"/>
      <w:pPr>
        <w:ind w:left="501" w:hanging="360"/>
      </w:pPr>
      <w:rPr>
        <w:rFonts w:ascii="Wingdings" w:hAnsi="Wingdings" w:cs="Wingdings" w:hint="default"/>
        <w:b w:val="0"/>
        <w:i w:val="0"/>
        <w:color w:val="5BC2E7"/>
        <w:spacing w:val="-2"/>
        <w:w w:val="100"/>
        <w:sz w:val="15"/>
        <w:szCs w:val="24"/>
        <w:u w:val="none"/>
      </w:rPr>
    </w:lvl>
    <w:lvl w:ilvl="1" w:tplc="661816C0">
      <w:numFmt w:val="bullet"/>
      <w:lvlText w:val="•"/>
      <w:lvlJc w:val="left"/>
      <w:pPr>
        <w:ind w:left="598" w:hanging="320"/>
      </w:pPr>
      <w:rPr>
        <w:rFonts w:hint="default"/>
      </w:rPr>
    </w:lvl>
    <w:lvl w:ilvl="2" w:tplc="15222884">
      <w:numFmt w:val="bullet"/>
      <w:lvlText w:val="•"/>
      <w:lvlJc w:val="left"/>
      <w:pPr>
        <w:ind w:left="737" w:hanging="320"/>
      </w:pPr>
      <w:rPr>
        <w:rFonts w:hint="default"/>
      </w:rPr>
    </w:lvl>
    <w:lvl w:ilvl="3" w:tplc="C1C66690">
      <w:numFmt w:val="bullet"/>
      <w:lvlText w:val="•"/>
      <w:lvlJc w:val="left"/>
      <w:pPr>
        <w:ind w:left="876" w:hanging="320"/>
      </w:pPr>
      <w:rPr>
        <w:rFonts w:hint="default"/>
      </w:rPr>
    </w:lvl>
    <w:lvl w:ilvl="4" w:tplc="30B0183C">
      <w:numFmt w:val="bullet"/>
      <w:lvlText w:val="•"/>
      <w:lvlJc w:val="left"/>
      <w:pPr>
        <w:ind w:left="1014" w:hanging="320"/>
      </w:pPr>
      <w:rPr>
        <w:rFonts w:hint="default"/>
      </w:rPr>
    </w:lvl>
    <w:lvl w:ilvl="5" w:tplc="037C07AC">
      <w:numFmt w:val="bullet"/>
      <w:lvlText w:val="•"/>
      <w:lvlJc w:val="left"/>
      <w:pPr>
        <w:ind w:left="1153" w:hanging="320"/>
      </w:pPr>
      <w:rPr>
        <w:rFonts w:hint="default"/>
      </w:rPr>
    </w:lvl>
    <w:lvl w:ilvl="6" w:tplc="C9DA3FCC">
      <w:numFmt w:val="bullet"/>
      <w:lvlText w:val="•"/>
      <w:lvlJc w:val="left"/>
      <w:pPr>
        <w:ind w:left="1292" w:hanging="320"/>
      </w:pPr>
      <w:rPr>
        <w:rFonts w:hint="default"/>
      </w:rPr>
    </w:lvl>
    <w:lvl w:ilvl="7" w:tplc="CB96B474">
      <w:numFmt w:val="bullet"/>
      <w:lvlText w:val="•"/>
      <w:lvlJc w:val="left"/>
      <w:pPr>
        <w:ind w:left="1430" w:hanging="320"/>
      </w:pPr>
      <w:rPr>
        <w:rFonts w:hint="default"/>
      </w:rPr>
    </w:lvl>
    <w:lvl w:ilvl="8" w:tplc="72521C70">
      <w:numFmt w:val="bullet"/>
      <w:lvlText w:val="•"/>
      <w:lvlJc w:val="left"/>
      <w:pPr>
        <w:ind w:left="1569" w:hanging="320"/>
      </w:pPr>
      <w:rPr>
        <w:rFonts w:hint="default"/>
      </w:rPr>
    </w:lvl>
  </w:abstractNum>
  <w:abstractNum w:abstractNumId="1" w15:restartNumberingAfterBreak="0">
    <w:nsid w:val="04EB4D01"/>
    <w:multiLevelType w:val="hybridMultilevel"/>
    <w:tmpl w:val="C374C6AA"/>
    <w:lvl w:ilvl="0" w:tplc="3814AF74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111EC"/>
    <w:multiLevelType w:val="hybridMultilevel"/>
    <w:tmpl w:val="75E8AB7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2226B"/>
    <w:multiLevelType w:val="hybridMultilevel"/>
    <w:tmpl w:val="4A4C9434"/>
    <w:lvl w:ilvl="0" w:tplc="1116CE38">
      <w:start w:val="1"/>
      <w:numFmt w:val="bullet"/>
      <w:lvlText w:val=""/>
      <w:lvlJc w:val="left"/>
      <w:pPr>
        <w:ind w:left="3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22EB68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9F60A8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31E75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B4C68E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15EBA0E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1EF76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6E5550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592DAD2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F30311B"/>
    <w:multiLevelType w:val="hybridMultilevel"/>
    <w:tmpl w:val="0D82B4E4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04A5CE7"/>
    <w:multiLevelType w:val="hybridMultilevel"/>
    <w:tmpl w:val="A08A7CA8"/>
    <w:lvl w:ilvl="0" w:tplc="9EBAAC58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8C0D03"/>
    <w:multiLevelType w:val="hybridMultilevel"/>
    <w:tmpl w:val="D0C49E4A"/>
    <w:lvl w:ilvl="0" w:tplc="9EBAAC58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FA0374"/>
    <w:multiLevelType w:val="hybridMultilevel"/>
    <w:tmpl w:val="35AEC24E"/>
    <w:lvl w:ilvl="0" w:tplc="D8667FEA">
      <w:numFmt w:val="bullet"/>
      <w:lvlText w:val=""/>
      <w:lvlJc w:val="left"/>
      <w:pPr>
        <w:ind w:left="501" w:hanging="360"/>
      </w:pPr>
      <w:rPr>
        <w:rFonts w:ascii="Wingdings" w:hAnsi="Wingdings" w:cs="Wingdings" w:hint="default"/>
        <w:b w:val="0"/>
        <w:i w:val="0"/>
        <w:color w:val="5BC2E7"/>
        <w:spacing w:val="-2"/>
        <w:w w:val="100"/>
        <w:sz w:val="15"/>
        <w:szCs w:val="24"/>
        <w:u w:val="none"/>
      </w:rPr>
    </w:lvl>
    <w:lvl w:ilvl="1" w:tplc="1FEE6544">
      <w:numFmt w:val="bullet"/>
      <w:lvlText w:val="•"/>
      <w:lvlJc w:val="left"/>
      <w:pPr>
        <w:ind w:left="598" w:hanging="320"/>
      </w:pPr>
      <w:rPr>
        <w:rFonts w:hint="default"/>
      </w:rPr>
    </w:lvl>
    <w:lvl w:ilvl="2" w:tplc="3A822046">
      <w:numFmt w:val="bullet"/>
      <w:lvlText w:val="•"/>
      <w:lvlJc w:val="left"/>
      <w:pPr>
        <w:ind w:left="737" w:hanging="320"/>
      </w:pPr>
      <w:rPr>
        <w:rFonts w:hint="default"/>
      </w:rPr>
    </w:lvl>
    <w:lvl w:ilvl="3" w:tplc="68B09552">
      <w:numFmt w:val="bullet"/>
      <w:lvlText w:val="•"/>
      <w:lvlJc w:val="left"/>
      <w:pPr>
        <w:ind w:left="876" w:hanging="320"/>
      </w:pPr>
      <w:rPr>
        <w:rFonts w:hint="default"/>
      </w:rPr>
    </w:lvl>
    <w:lvl w:ilvl="4" w:tplc="DA56CC0A">
      <w:numFmt w:val="bullet"/>
      <w:lvlText w:val="•"/>
      <w:lvlJc w:val="left"/>
      <w:pPr>
        <w:ind w:left="1014" w:hanging="320"/>
      </w:pPr>
      <w:rPr>
        <w:rFonts w:hint="default"/>
      </w:rPr>
    </w:lvl>
    <w:lvl w:ilvl="5" w:tplc="4C6AF0A2">
      <w:numFmt w:val="bullet"/>
      <w:lvlText w:val="•"/>
      <w:lvlJc w:val="left"/>
      <w:pPr>
        <w:ind w:left="1153" w:hanging="320"/>
      </w:pPr>
      <w:rPr>
        <w:rFonts w:hint="default"/>
      </w:rPr>
    </w:lvl>
    <w:lvl w:ilvl="6" w:tplc="2FFE6A1A">
      <w:numFmt w:val="bullet"/>
      <w:lvlText w:val="•"/>
      <w:lvlJc w:val="left"/>
      <w:pPr>
        <w:ind w:left="1292" w:hanging="320"/>
      </w:pPr>
      <w:rPr>
        <w:rFonts w:hint="default"/>
      </w:rPr>
    </w:lvl>
    <w:lvl w:ilvl="7" w:tplc="CCE871C8">
      <w:numFmt w:val="bullet"/>
      <w:lvlText w:val="•"/>
      <w:lvlJc w:val="left"/>
      <w:pPr>
        <w:ind w:left="1430" w:hanging="320"/>
      </w:pPr>
      <w:rPr>
        <w:rFonts w:hint="default"/>
      </w:rPr>
    </w:lvl>
    <w:lvl w:ilvl="8" w:tplc="97AC1ACA">
      <w:numFmt w:val="bullet"/>
      <w:lvlText w:val="•"/>
      <w:lvlJc w:val="left"/>
      <w:pPr>
        <w:ind w:left="1569" w:hanging="320"/>
      </w:pPr>
      <w:rPr>
        <w:rFonts w:hint="default"/>
      </w:rPr>
    </w:lvl>
  </w:abstractNum>
  <w:abstractNum w:abstractNumId="8" w15:restartNumberingAfterBreak="0">
    <w:nsid w:val="242D080E"/>
    <w:multiLevelType w:val="hybridMultilevel"/>
    <w:tmpl w:val="41223F92"/>
    <w:lvl w:ilvl="0" w:tplc="455666BA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5BC2E7" w:themeColor="accent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BA12F1"/>
    <w:multiLevelType w:val="hybridMultilevel"/>
    <w:tmpl w:val="C95EB39E"/>
    <w:lvl w:ilvl="0" w:tplc="58481F7A">
      <w:start w:val="1"/>
      <w:numFmt w:val="bullet"/>
      <w:pStyle w:val="ListParagraph1"/>
      <w:lvlText w:val=""/>
      <w:lvlJc w:val="left"/>
      <w:pPr>
        <w:ind w:left="284" w:firstLine="0"/>
      </w:pPr>
      <w:rPr>
        <w:rFonts w:ascii="Wingdings" w:hAnsi="Wingdings" w:hint="default"/>
        <w:color w:val="A6A6A6" w:themeColor="background1" w:themeShade="A6"/>
        <w:sz w:val="16"/>
      </w:rPr>
    </w:lvl>
    <w:lvl w:ilvl="1" w:tplc="040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0" w15:restartNumberingAfterBreak="0">
    <w:nsid w:val="356479E9"/>
    <w:multiLevelType w:val="hybridMultilevel"/>
    <w:tmpl w:val="4898627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47CD2"/>
    <w:multiLevelType w:val="hybridMultilevel"/>
    <w:tmpl w:val="1E32BC3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ABE5BBA"/>
    <w:multiLevelType w:val="hybridMultilevel"/>
    <w:tmpl w:val="6A5829E0"/>
    <w:lvl w:ilvl="0" w:tplc="D8667FEA">
      <w:numFmt w:val="bullet"/>
      <w:lvlText w:val=""/>
      <w:lvlJc w:val="left"/>
      <w:pPr>
        <w:ind w:left="1429" w:hanging="360"/>
      </w:pPr>
      <w:rPr>
        <w:rFonts w:ascii="Wingdings" w:hAnsi="Wingdings" w:cs="Wingdings" w:hint="default"/>
        <w:b w:val="0"/>
        <w:i w:val="0"/>
        <w:color w:val="5BC2E7"/>
        <w:spacing w:val="-2"/>
        <w:w w:val="100"/>
        <w:sz w:val="15"/>
        <w:szCs w:val="24"/>
        <w:u w:val="none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CAD6A20"/>
    <w:multiLevelType w:val="hybridMultilevel"/>
    <w:tmpl w:val="14488CAA"/>
    <w:lvl w:ilvl="0" w:tplc="3814AF74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A21535"/>
    <w:multiLevelType w:val="hybridMultilevel"/>
    <w:tmpl w:val="A8B480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8640BA"/>
    <w:multiLevelType w:val="hybridMultilevel"/>
    <w:tmpl w:val="C7BE82A2"/>
    <w:lvl w:ilvl="0" w:tplc="FF40EB90">
      <w:numFmt w:val="bullet"/>
      <w:lvlText w:val=""/>
      <w:lvlJc w:val="left"/>
      <w:pPr>
        <w:ind w:left="720" w:hanging="360"/>
      </w:pPr>
      <w:rPr>
        <w:rFonts w:ascii="Wingdings" w:hAnsi="Wingdings" w:cs="Wingdings" w:hint="default"/>
        <w:b w:val="0"/>
        <w:i w:val="0"/>
        <w:color w:val="5BC2E7"/>
        <w:spacing w:val="-2"/>
        <w:w w:val="100"/>
        <w:sz w:val="18"/>
        <w:szCs w:val="24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3610"/>
    <w:multiLevelType w:val="hybridMultilevel"/>
    <w:tmpl w:val="D7CC30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1A14EB"/>
    <w:multiLevelType w:val="hybridMultilevel"/>
    <w:tmpl w:val="4FB2F9F8"/>
    <w:lvl w:ilvl="0" w:tplc="43F0C7D8">
      <w:start w:val="1"/>
      <w:numFmt w:val="decimal"/>
      <w:lvlText w:val="%1."/>
      <w:lvlJc w:val="left"/>
      <w:pPr>
        <w:ind w:left="1846" w:hanging="428"/>
        <w:jc w:val="right"/>
      </w:pPr>
      <w:rPr>
        <w:rFonts w:ascii="Arial Narrow" w:eastAsia="Arial Narrow" w:hAnsi="Arial Narrow" w:cs="Arial Narrow" w:hint="default"/>
        <w:b/>
        <w:bCs/>
        <w:w w:val="100"/>
        <w:sz w:val="22"/>
        <w:szCs w:val="22"/>
      </w:rPr>
    </w:lvl>
    <w:lvl w:ilvl="1" w:tplc="5B100364">
      <w:start w:val="1"/>
      <w:numFmt w:val="lowerLetter"/>
      <w:lvlText w:val="%2)"/>
      <w:lvlJc w:val="left"/>
      <w:pPr>
        <w:ind w:left="1846" w:hanging="286"/>
      </w:pPr>
      <w:rPr>
        <w:rFonts w:ascii="Arial" w:eastAsia="Arial" w:hAnsi="Arial" w:cs="Arial" w:hint="default"/>
        <w:i/>
        <w:spacing w:val="-2"/>
        <w:w w:val="90"/>
        <w:sz w:val="24"/>
        <w:szCs w:val="24"/>
      </w:rPr>
    </w:lvl>
    <w:lvl w:ilvl="2" w:tplc="6B26FD2A">
      <w:numFmt w:val="bullet"/>
      <w:lvlText w:val="•"/>
      <w:lvlJc w:val="left"/>
      <w:pPr>
        <w:ind w:left="3801" w:hanging="286"/>
      </w:pPr>
      <w:rPr>
        <w:rFonts w:hint="default"/>
      </w:rPr>
    </w:lvl>
    <w:lvl w:ilvl="3" w:tplc="D390FB64">
      <w:numFmt w:val="bullet"/>
      <w:lvlText w:val="•"/>
      <w:lvlJc w:val="left"/>
      <w:pPr>
        <w:ind w:left="4781" w:hanging="286"/>
      </w:pPr>
      <w:rPr>
        <w:rFonts w:hint="default"/>
      </w:rPr>
    </w:lvl>
    <w:lvl w:ilvl="4" w:tplc="AEA0CBB6">
      <w:numFmt w:val="bullet"/>
      <w:lvlText w:val="•"/>
      <w:lvlJc w:val="left"/>
      <w:pPr>
        <w:ind w:left="5762" w:hanging="286"/>
      </w:pPr>
      <w:rPr>
        <w:rFonts w:hint="default"/>
      </w:rPr>
    </w:lvl>
    <w:lvl w:ilvl="5" w:tplc="B96CEE4E">
      <w:numFmt w:val="bullet"/>
      <w:lvlText w:val="•"/>
      <w:lvlJc w:val="left"/>
      <w:pPr>
        <w:ind w:left="6743" w:hanging="286"/>
      </w:pPr>
      <w:rPr>
        <w:rFonts w:hint="default"/>
      </w:rPr>
    </w:lvl>
    <w:lvl w:ilvl="6" w:tplc="D8C0EC30">
      <w:numFmt w:val="bullet"/>
      <w:lvlText w:val="•"/>
      <w:lvlJc w:val="left"/>
      <w:pPr>
        <w:ind w:left="7723" w:hanging="286"/>
      </w:pPr>
      <w:rPr>
        <w:rFonts w:hint="default"/>
      </w:rPr>
    </w:lvl>
    <w:lvl w:ilvl="7" w:tplc="82EAF13E">
      <w:numFmt w:val="bullet"/>
      <w:lvlText w:val="•"/>
      <w:lvlJc w:val="left"/>
      <w:pPr>
        <w:ind w:left="8704" w:hanging="286"/>
      </w:pPr>
      <w:rPr>
        <w:rFonts w:hint="default"/>
      </w:rPr>
    </w:lvl>
    <w:lvl w:ilvl="8" w:tplc="651094A6">
      <w:numFmt w:val="bullet"/>
      <w:lvlText w:val="•"/>
      <w:lvlJc w:val="left"/>
      <w:pPr>
        <w:ind w:left="9685" w:hanging="286"/>
      </w:pPr>
      <w:rPr>
        <w:rFonts w:hint="default"/>
      </w:rPr>
    </w:lvl>
  </w:abstractNum>
  <w:abstractNum w:abstractNumId="18" w15:restartNumberingAfterBreak="0">
    <w:nsid w:val="4ADD4E74"/>
    <w:multiLevelType w:val="hybridMultilevel"/>
    <w:tmpl w:val="02163FF2"/>
    <w:lvl w:ilvl="0" w:tplc="D8667FEA">
      <w:numFmt w:val="bullet"/>
      <w:lvlText w:val=""/>
      <w:lvlJc w:val="left"/>
      <w:pPr>
        <w:ind w:left="720" w:hanging="360"/>
      </w:pPr>
      <w:rPr>
        <w:rFonts w:ascii="Wingdings" w:hAnsi="Wingdings" w:cs="Wingdings" w:hint="default"/>
        <w:b w:val="0"/>
        <w:i w:val="0"/>
        <w:color w:val="5BC2E7"/>
        <w:spacing w:val="-2"/>
        <w:w w:val="100"/>
        <w:sz w:val="15"/>
        <w:szCs w:val="24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DE4F1B"/>
    <w:multiLevelType w:val="hybridMultilevel"/>
    <w:tmpl w:val="E520BA7C"/>
    <w:lvl w:ilvl="0" w:tplc="3814AF74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0F27110"/>
    <w:multiLevelType w:val="hybridMultilevel"/>
    <w:tmpl w:val="9812547A"/>
    <w:lvl w:ilvl="0" w:tplc="D8667FEA">
      <w:numFmt w:val="bullet"/>
      <w:lvlText w:val=""/>
      <w:lvlJc w:val="left"/>
      <w:pPr>
        <w:ind w:left="501" w:hanging="360"/>
      </w:pPr>
      <w:rPr>
        <w:rFonts w:ascii="Wingdings" w:hAnsi="Wingdings" w:cs="Wingdings" w:hint="default"/>
        <w:b w:val="0"/>
        <w:i w:val="0"/>
        <w:color w:val="5BC2E7"/>
        <w:spacing w:val="-2"/>
        <w:w w:val="100"/>
        <w:sz w:val="15"/>
        <w:szCs w:val="24"/>
        <w:u w:val="none"/>
      </w:rPr>
    </w:lvl>
    <w:lvl w:ilvl="1" w:tplc="1DA0D500">
      <w:numFmt w:val="bullet"/>
      <w:lvlText w:val="•"/>
      <w:lvlJc w:val="left"/>
      <w:pPr>
        <w:ind w:left="598" w:hanging="320"/>
      </w:pPr>
      <w:rPr>
        <w:rFonts w:hint="default"/>
      </w:rPr>
    </w:lvl>
    <w:lvl w:ilvl="2" w:tplc="DC1CC908">
      <w:numFmt w:val="bullet"/>
      <w:lvlText w:val="•"/>
      <w:lvlJc w:val="left"/>
      <w:pPr>
        <w:ind w:left="737" w:hanging="320"/>
      </w:pPr>
      <w:rPr>
        <w:rFonts w:hint="default"/>
      </w:rPr>
    </w:lvl>
    <w:lvl w:ilvl="3" w:tplc="F5C2CAD0">
      <w:numFmt w:val="bullet"/>
      <w:lvlText w:val="•"/>
      <w:lvlJc w:val="left"/>
      <w:pPr>
        <w:ind w:left="876" w:hanging="320"/>
      </w:pPr>
      <w:rPr>
        <w:rFonts w:hint="default"/>
      </w:rPr>
    </w:lvl>
    <w:lvl w:ilvl="4" w:tplc="01E291BE">
      <w:numFmt w:val="bullet"/>
      <w:lvlText w:val="•"/>
      <w:lvlJc w:val="left"/>
      <w:pPr>
        <w:ind w:left="1014" w:hanging="320"/>
      </w:pPr>
      <w:rPr>
        <w:rFonts w:hint="default"/>
      </w:rPr>
    </w:lvl>
    <w:lvl w:ilvl="5" w:tplc="D3586FAE">
      <w:numFmt w:val="bullet"/>
      <w:lvlText w:val="•"/>
      <w:lvlJc w:val="left"/>
      <w:pPr>
        <w:ind w:left="1153" w:hanging="320"/>
      </w:pPr>
      <w:rPr>
        <w:rFonts w:hint="default"/>
      </w:rPr>
    </w:lvl>
    <w:lvl w:ilvl="6" w:tplc="E9167D3C">
      <w:numFmt w:val="bullet"/>
      <w:lvlText w:val="•"/>
      <w:lvlJc w:val="left"/>
      <w:pPr>
        <w:ind w:left="1292" w:hanging="320"/>
      </w:pPr>
      <w:rPr>
        <w:rFonts w:hint="default"/>
      </w:rPr>
    </w:lvl>
    <w:lvl w:ilvl="7" w:tplc="D22438E0">
      <w:numFmt w:val="bullet"/>
      <w:lvlText w:val="•"/>
      <w:lvlJc w:val="left"/>
      <w:pPr>
        <w:ind w:left="1430" w:hanging="320"/>
      </w:pPr>
      <w:rPr>
        <w:rFonts w:hint="default"/>
      </w:rPr>
    </w:lvl>
    <w:lvl w:ilvl="8" w:tplc="71B6C698">
      <w:numFmt w:val="bullet"/>
      <w:lvlText w:val="•"/>
      <w:lvlJc w:val="left"/>
      <w:pPr>
        <w:ind w:left="1569" w:hanging="320"/>
      </w:pPr>
      <w:rPr>
        <w:rFonts w:hint="default"/>
      </w:rPr>
    </w:lvl>
  </w:abstractNum>
  <w:abstractNum w:abstractNumId="21" w15:restartNumberingAfterBreak="0">
    <w:nsid w:val="61553232"/>
    <w:multiLevelType w:val="hybridMultilevel"/>
    <w:tmpl w:val="D520E408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2651A41"/>
    <w:multiLevelType w:val="hybridMultilevel"/>
    <w:tmpl w:val="D68C45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9E2575"/>
    <w:multiLevelType w:val="hybridMultilevel"/>
    <w:tmpl w:val="864807E0"/>
    <w:lvl w:ilvl="0" w:tplc="D8667FEA">
      <w:numFmt w:val="bullet"/>
      <w:lvlText w:val=""/>
      <w:lvlJc w:val="left"/>
      <w:pPr>
        <w:ind w:left="501" w:hanging="360"/>
      </w:pPr>
      <w:rPr>
        <w:rFonts w:ascii="Wingdings" w:hAnsi="Wingdings" w:cs="Wingdings" w:hint="default"/>
        <w:b w:val="0"/>
        <w:i w:val="0"/>
        <w:color w:val="5BC2E7"/>
        <w:spacing w:val="-2"/>
        <w:w w:val="100"/>
        <w:sz w:val="15"/>
        <w:szCs w:val="24"/>
        <w:u w:val="none"/>
      </w:rPr>
    </w:lvl>
    <w:lvl w:ilvl="1" w:tplc="CE0C44D0">
      <w:numFmt w:val="bullet"/>
      <w:lvlText w:val="•"/>
      <w:lvlJc w:val="left"/>
      <w:pPr>
        <w:ind w:left="666" w:hanging="142"/>
      </w:pPr>
      <w:rPr>
        <w:rFonts w:hint="default"/>
      </w:rPr>
    </w:lvl>
    <w:lvl w:ilvl="2" w:tplc="62FCED5A">
      <w:numFmt w:val="bullet"/>
      <w:lvlText w:val="•"/>
      <w:lvlJc w:val="left"/>
      <w:pPr>
        <w:ind w:left="1092" w:hanging="142"/>
      </w:pPr>
      <w:rPr>
        <w:rFonts w:hint="default"/>
      </w:rPr>
    </w:lvl>
    <w:lvl w:ilvl="3" w:tplc="4BDA5838">
      <w:numFmt w:val="bullet"/>
      <w:lvlText w:val="•"/>
      <w:lvlJc w:val="left"/>
      <w:pPr>
        <w:ind w:left="1518" w:hanging="142"/>
      </w:pPr>
      <w:rPr>
        <w:rFonts w:hint="default"/>
      </w:rPr>
    </w:lvl>
    <w:lvl w:ilvl="4" w:tplc="BDDAFA70">
      <w:numFmt w:val="bullet"/>
      <w:lvlText w:val="•"/>
      <w:lvlJc w:val="left"/>
      <w:pPr>
        <w:ind w:left="1945" w:hanging="142"/>
      </w:pPr>
      <w:rPr>
        <w:rFonts w:hint="default"/>
      </w:rPr>
    </w:lvl>
    <w:lvl w:ilvl="5" w:tplc="4A646FC2">
      <w:numFmt w:val="bullet"/>
      <w:lvlText w:val="•"/>
      <w:lvlJc w:val="left"/>
      <w:pPr>
        <w:ind w:left="2371" w:hanging="142"/>
      </w:pPr>
      <w:rPr>
        <w:rFonts w:hint="default"/>
      </w:rPr>
    </w:lvl>
    <w:lvl w:ilvl="6" w:tplc="008EA0AC">
      <w:numFmt w:val="bullet"/>
      <w:lvlText w:val="•"/>
      <w:lvlJc w:val="left"/>
      <w:pPr>
        <w:ind w:left="2797" w:hanging="142"/>
      </w:pPr>
      <w:rPr>
        <w:rFonts w:hint="default"/>
      </w:rPr>
    </w:lvl>
    <w:lvl w:ilvl="7" w:tplc="66565CCC">
      <w:numFmt w:val="bullet"/>
      <w:lvlText w:val="•"/>
      <w:lvlJc w:val="left"/>
      <w:pPr>
        <w:ind w:left="3224" w:hanging="142"/>
      </w:pPr>
      <w:rPr>
        <w:rFonts w:hint="default"/>
      </w:rPr>
    </w:lvl>
    <w:lvl w:ilvl="8" w:tplc="56685D02">
      <w:numFmt w:val="bullet"/>
      <w:lvlText w:val="•"/>
      <w:lvlJc w:val="left"/>
      <w:pPr>
        <w:ind w:left="3650" w:hanging="142"/>
      </w:pPr>
      <w:rPr>
        <w:rFonts w:hint="default"/>
      </w:rPr>
    </w:lvl>
  </w:abstractNum>
  <w:abstractNum w:abstractNumId="24" w15:restartNumberingAfterBreak="0">
    <w:nsid w:val="641E2E6D"/>
    <w:multiLevelType w:val="hybridMultilevel"/>
    <w:tmpl w:val="6CEAE2D6"/>
    <w:lvl w:ilvl="0" w:tplc="B6B60A14">
      <w:start w:val="2"/>
      <w:numFmt w:val="decimal"/>
      <w:lvlText w:val="%1."/>
      <w:lvlJc w:val="left"/>
      <w:pPr>
        <w:ind w:left="491" w:hanging="267"/>
        <w:jc w:val="right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</w:rPr>
    </w:lvl>
    <w:lvl w:ilvl="1" w:tplc="DFC66184">
      <w:start w:val="1"/>
      <w:numFmt w:val="lowerLetter"/>
      <w:lvlText w:val="%2."/>
      <w:lvlJc w:val="left"/>
      <w:pPr>
        <w:ind w:left="944" w:hanging="361"/>
      </w:pPr>
      <w:rPr>
        <w:rFonts w:ascii="Arial" w:eastAsia="Arial" w:hAnsi="Arial" w:cs="Arial" w:hint="default"/>
        <w:spacing w:val="0"/>
        <w:w w:val="103"/>
        <w:sz w:val="19"/>
        <w:szCs w:val="19"/>
      </w:rPr>
    </w:lvl>
    <w:lvl w:ilvl="2" w:tplc="9C365356">
      <w:numFmt w:val="bullet"/>
      <w:lvlText w:val="•"/>
      <w:lvlJc w:val="left"/>
      <w:pPr>
        <w:ind w:left="940" w:hanging="361"/>
      </w:pPr>
      <w:rPr>
        <w:rFonts w:hint="default"/>
      </w:rPr>
    </w:lvl>
    <w:lvl w:ilvl="3" w:tplc="5CA818AC">
      <w:numFmt w:val="bullet"/>
      <w:lvlText w:val="•"/>
      <w:lvlJc w:val="left"/>
      <w:pPr>
        <w:ind w:left="1100" w:hanging="361"/>
      </w:pPr>
      <w:rPr>
        <w:rFonts w:hint="default"/>
      </w:rPr>
    </w:lvl>
    <w:lvl w:ilvl="4" w:tplc="FD928A62">
      <w:numFmt w:val="bullet"/>
      <w:lvlText w:val="•"/>
      <w:lvlJc w:val="left"/>
      <w:pPr>
        <w:ind w:left="2482" w:hanging="361"/>
      </w:pPr>
      <w:rPr>
        <w:rFonts w:hint="default"/>
      </w:rPr>
    </w:lvl>
    <w:lvl w:ilvl="5" w:tplc="54C8ED94">
      <w:numFmt w:val="bullet"/>
      <w:lvlText w:val="•"/>
      <w:lvlJc w:val="left"/>
      <w:pPr>
        <w:ind w:left="3865" w:hanging="361"/>
      </w:pPr>
      <w:rPr>
        <w:rFonts w:hint="default"/>
      </w:rPr>
    </w:lvl>
    <w:lvl w:ilvl="6" w:tplc="D2C46860">
      <w:numFmt w:val="bullet"/>
      <w:lvlText w:val="•"/>
      <w:lvlJc w:val="left"/>
      <w:pPr>
        <w:ind w:left="5248" w:hanging="361"/>
      </w:pPr>
      <w:rPr>
        <w:rFonts w:hint="default"/>
      </w:rPr>
    </w:lvl>
    <w:lvl w:ilvl="7" w:tplc="845AF1EA">
      <w:numFmt w:val="bullet"/>
      <w:lvlText w:val="•"/>
      <w:lvlJc w:val="left"/>
      <w:pPr>
        <w:ind w:left="6631" w:hanging="361"/>
      </w:pPr>
      <w:rPr>
        <w:rFonts w:hint="default"/>
      </w:rPr>
    </w:lvl>
    <w:lvl w:ilvl="8" w:tplc="2026D158">
      <w:numFmt w:val="bullet"/>
      <w:lvlText w:val="•"/>
      <w:lvlJc w:val="left"/>
      <w:pPr>
        <w:ind w:left="8014" w:hanging="361"/>
      </w:pPr>
      <w:rPr>
        <w:rFonts w:hint="default"/>
      </w:rPr>
    </w:lvl>
  </w:abstractNum>
  <w:abstractNum w:abstractNumId="25" w15:restartNumberingAfterBreak="0">
    <w:nsid w:val="682117E9"/>
    <w:multiLevelType w:val="hybridMultilevel"/>
    <w:tmpl w:val="09E8729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D25C70"/>
    <w:multiLevelType w:val="hybridMultilevel"/>
    <w:tmpl w:val="EBBADC38"/>
    <w:lvl w:ilvl="0" w:tplc="D8667FEA">
      <w:numFmt w:val="bullet"/>
      <w:lvlText w:val=""/>
      <w:lvlJc w:val="left"/>
      <w:pPr>
        <w:ind w:left="456" w:hanging="315"/>
      </w:pPr>
      <w:rPr>
        <w:rFonts w:ascii="Wingdings" w:hAnsi="Wingdings" w:cs="Wingdings" w:hint="default"/>
        <w:b w:val="0"/>
        <w:i w:val="0"/>
        <w:color w:val="5BC2E7"/>
        <w:spacing w:val="-2"/>
        <w:w w:val="100"/>
        <w:sz w:val="15"/>
        <w:szCs w:val="24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214734"/>
    <w:multiLevelType w:val="hybridMultilevel"/>
    <w:tmpl w:val="929AB65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3B69FE"/>
    <w:multiLevelType w:val="hybridMultilevel"/>
    <w:tmpl w:val="0EE26928"/>
    <w:lvl w:ilvl="0" w:tplc="D8667FEA">
      <w:numFmt w:val="bullet"/>
      <w:lvlText w:val=""/>
      <w:lvlJc w:val="left"/>
      <w:pPr>
        <w:ind w:left="501" w:hanging="360"/>
      </w:pPr>
      <w:rPr>
        <w:rFonts w:ascii="Wingdings" w:hAnsi="Wingdings" w:cs="Wingdings" w:hint="default"/>
        <w:b w:val="0"/>
        <w:i w:val="0"/>
        <w:color w:val="5BC2E7"/>
        <w:spacing w:val="-2"/>
        <w:w w:val="100"/>
        <w:sz w:val="15"/>
        <w:szCs w:val="24"/>
        <w:u w:val="none"/>
      </w:rPr>
    </w:lvl>
    <w:lvl w:ilvl="1" w:tplc="2AC41704">
      <w:numFmt w:val="bullet"/>
      <w:lvlText w:val="•"/>
      <w:lvlJc w:val="left"/>
      <w:pPr>
        <w:ind w:left="669" w:hanging="130"/>
      </w:pPr>
      <w:rPr>
        <w:rFonts w:hint="default"/>
      </w:rPr>
    </w:lvl>
    <w:lvl w:ilvl="2" w:tplc="5212E136">
      <w:numFmt w:val="bullet"/>
      <w:lvlText w:val="•"/>
      <w:lvlJc w:val="left"/>
      <w:pPr>
        <w:ind w:left="1099" w:hanging="130"/>
      </w:pPr>
      <w:rPr>
        <w:rFonts w:hint="default"/>
      </w:rPr>
    </w:lvl>
    <w:lvl w:ilvl="3" w:tplc="55F85EE2">
      <w:numFmt w:val="bullet"/>
      <w:lvlText w:val="•"/>
      <w:lvlJc w:val="left"/>
      <w:pPr>
        <w:ind w:left="1529" w:hanging="130"/>
      </w:pPr>
      <w:rPr>
        <w:rFonts w:hint="default"/>
      </w:rPr>
    </w:lvl>
    <w:lvl w:ilvl="4" w:tplc="59882FB4">
      <w:numFmt w:val="bullet"/>
      <w:lvlText w:val="•"/>
      <w:lvlJc w:val="left"/>
      <w:pPr>
        <w:ind w:left="1959" w:hanging="130"/>
      </w:pPr>
      <w:rPr>
        <w:rFonts w:hint="default"/>
      </w:rPr>
    </w:lvl>
    <w:lvl w:ilvl="5" w:tplc="5486EF1C">
      <w:numFmt w:val="bullet"/>
      <w:lvlText w:val="•"/>
      <w:lvlJc w:val="left"/>
      <w:pPr>
        <w:ind w:left="2389" w:hanging="130"/>
      </w:pPr>
      <w:rPr>
        <w:rFonts w:hint="default"/>
      </w:rPr>
    </w:lvl>
    <w:lvl w:ilvl="6" w:tplc="A7B2EE0E">
      <w:numFmt w:val="bullet"/>
      <w:lvlText w:val="•"/>
      <w:lvlJc w:val="left"/>
      <w:pPr>
        <w:ind w:left="2819" w:hanging="130"/>
      </w:pPr>
      <w:rPr>
        <w:rFonts w:hint="default"/>
      </w:rPr>
    </w:lvl>
    <w:lvl w:ilvl="7" w:tplc="0EBECA2E">
      <w:numFmt w:val="bullet"/>
      <w:lvlText w:val="•"/>
      <w:lvlJc w:val="left"/>
      <w:pPr>
        <w:ind w:left="3249" w:hanging="130"/>
      </w:pPr>
      <w:rPr>
        <w:rFonts w:hint="default"/>
      </w:rPr>
    </w:lvl>
    <w:lvl w:ilvl="8" w:tplc="C03AEA78">
      <w:numFmt w:val="bullet"/>
      <w:lvlText w:val="•"/>
      <w:lvlJc w:val="left"/>
      <w:pPr>
        <w:ind w:left="3679" w:hanging="130"/>
      </w:pPr>
      <w:rPr>
        <w:rFonts w:hint="default"/>
      </w:rPr>
    </w:lvl>
  </w:abstractNum>
  <w:abstractNum w:abstractNumId="29" w15:restartNumberingAfterBreak="0">
    <w:nsid w:val="6CFB3451"/>
    <w:multiLevelType w:val="hybridMultilevel"/>
    <w:tmpl w:val="6B200B04"/>
    <w:lvl w:ilvl="0" w:tplc="D8667FEA">
      <w:numFmt w:val="bullet"/>
      <w:lvlText w:val=""/>
      <w:lvlJc w:val="left"/>
      <w:pPr>
        <w:ind w:left="501" w:hanging="360"/>
      </w:pPr>
      <w:rPr>
        <w:rFonts w:ascii="Wingdings" w:hAnsi="Wingdings" w:cs="Wingdings" w:hint="default"/>
        <w:b w:val="0"/>
        <w:i w:val="0"/>
        <w:color w:val="5BC2E7"/>
        <w:spacing w:val="-2"/>
        <w:w w:val="100"/>
        <w:sz w:val="15"/>
        <w:szCs w:val="24"/>
        <w:u w:val="none"/>
      </w:rPr>
    </w:lvl>
    <w:lvl w:ilvl="1" w:tplc="8D3C9C6E">
      <w:numFmt w:val="bullet"/>
      <w:lvlText w:val="•"/>
      <w:lvlJc w:val="left"/>
      <w:pPr>
        <w:ind w:left="598" w:hanging="320"/>
      </w:pPr>
      <w:rPr>
        <w:rFonts w:hint="default"/>
      </w:rPr>
    </w:lvl>
    <w:lvl w:ilvl="2" w:tplc="995E29FE">
      <w:numFmt w:val="bullet"/>
      <w:lvlText w:val="•"/>
      <w:lvlJc w:val="left"/>
      <w:pPr>
        <w:ind w:left="737" w:hanging="320"/>
      </w:pPr>
      <w:rPr>
        <w:rFonts w:hint="default"/>
      </w:rPr>
    </w:lvl>
    <w:lvl w:ilvl="3" w:tplc="60C4C56C">
      <w:numFmt w:val="bullet"/>
      <w:lvlText w:val="•"/>
      <w:lvlJc w:val="left"/>
      <w:pPr>
        <w:ind w:left="876" w:hanging="320"/>
      </w:pPr>
      <w:rPr>
        <w:rFonts w:hint="default"/>
      </w:rPr>
    </w:lvl>
    <w:lvl w:ilvl="4" w:tplc="3832665A">
      <w:numFmt w:val="bullet"/>
      <w:lvlText w:val="•"/>
      <w:lvlJc w:val="left"/>
      <w:pPr>
        <w:ind w:left="1014" w:hanging="320"/>
      </w:pPr>
      <w:rPr>
        <w:rFonts w:hint="default"/>
      </w:rPr>
    </w:lvl>
    <w:lvl w:ilvl="5" w:tplc="F62A6C26">
      <w:numFmt w:val="bullet"/>
      <w:lvlText w:val="•"/>
      <w:lvlJc w:val="left"/>
      <w:pPr>
        <w:ind w:left="1153" w:hanging="320"/>
      </w:pPr>
      <w:rPr>
        <w:rFonts w:hint="default"/>
      </w:rPr>
    </w:lvl>
    <w:lvl w:ilvl="6" w:tplc="7DCA3568">
      <w:numFmt w:val="bullet"/>
      <w:lvlText w:val="•"/>
      <w:lvlJc w:val="left"/>
      <w:pPr>
        <w:ind w:left="1292" w:hanging="320"/>
      </w:pPr>
      <w:rPr>
        <w:rFonts w:hint="default"/>
      </w:rPr>
    </w:lvl>
    <w:lvl w:ilvl="7" w:tplc="43D6D01A">
      <w:numFmt w:val="bullet"/>
      <w:lvlText w:val="•"/>
      <w:lvlJc w:val="left"/>
      <w:pPr>
        <w:ind w:left="1430" w:hanging="320"/>
      </w:pPr>
      <w:rPr>
        <w:rFonts w:hint="default"/>
      </w:rPr>
    </w:lvl>
    <w:lvl w:ilvl="8" w:tplc="0038A874">
      <w:numFmt w:val="bullet"/>
      <w:lvlText w:val="•"/>
      <w:lvlJc w:val="left"/>
      <w:pPr>
        <w:ind w:left="1569" w:hanging="320"/>
      </w:pPr>
      <w:rPr>
        <w:rFonts w:hint="default"/>
      </w:rPr>
    </w:lvl>
  </w:abstractNum>
  <w:abstractNum w:abstractNumId="30" w15:restartNumberingAfterBreak="0">
    <w:nsid w:val="6FBC5CEB"/>
    <w:multiLevelType w:val="hybridMultilevel"/>
    <w:tmpl w:val="B82E3EDE"/>
    <w:lvl w:ilvl="0" w:tplc="D8667FEA">
      <w:numFmt w:val="bullet"/>
      <w:lvlText w:val=""/>
      <w:lvlJc w:val="left"/>
      <w:pPr>
        <w:ind w:left="720" w:hanging="360"/>
      </w:pPr>
      <w:rPr>
        <w:rFonts w:ascii="Wingdings" w:hAnsi="Wingdings" w:cs="Wingdings" w:hint="default"/>
        <w:b w:val="0"/>
        <w:i w:val="0"/>
        <w:color w:val="5BC2E7"/>
        <w:spacing w:val="-2"/>
        <w:w w:val="100"/>
        <w:sz w:val="15"/>
        <w:szCs w:val="24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37493C"/>
    <w:multiLevelType w:val="hybridMultilevel"/>
    <w:tmpl w:val="69042E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4B2EF0"/>
    <w:multiLevelType w:val="hybridMultilevel"/>
    <w:tmpl w:val="1B1A32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B02588"/>
    <w:multiLevelType w:val="hybridMultilevel"/>
    <w:tmpl w:val="1962341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EB0606"/>
    <w:multiLevelType w:val="hybridMultilevel"/>
    <w:tmpl w:val="74984D32"/>
    <w:lvl w:ilvl="0" w:tplc="D8667FEA">
      <w:numFmt w:val="bullet"/>
      <w:lvlText w:val=""/>
      <w:lvlJc w:val="left"/>
      <w:pPr>
        <w:ind w:left="501" w:hanging="360"/>
      </w:pPr>
      <w:rPr>
        <w:rFonts w:ascii="Wingdings" w:hAnsi="Wingdings" w:cs="Wingdings" w:hint="default"/>
        <w:b w:val="0"/>
        <w:i w:val="0"/>
        <w:color w:val="5BC2E7"/>
        <w:spacing w:val="-2"/>
        <w:w w:val="100"/>
        <w:sz w:val="15"/>
        <w:szCs w:val="24"/>
        <w:u w:val="none"/>
      </w:rPr>
    </w:lvl>
    <w:lvl w:ilvl="1" w:tplc="68305150">
      <w:numFmt w:val="bullet"/>
      <w:lvlText w:val="•"/>
      <w:lvlJc w:val="left"/>
      <w:pPr>
        <w:ind w:left="598" w:hanging="320"/>
      </w:pPr>
      <w:rPr>
        <w:rFonts w:hint="default"/>
      </w:rPr>
    </w:lvl>
    <w:lvl w:ilvl="2" w:tplc="B8C04D36">
      <w:numFmt w:val="bullet"/>
      <w:lvlText w:val="•"/>
      <w:lvlJc w:val="left"/>
      <w:pPr>
        <w:ind w:left="737" w:hanging="320"/>
      </w:pPr>
      <w:rPr>
        <w:rFonts w:hint="default"/>
      </w:rPr>
    </w:lvl>
    <w:lvl w:ilvl="3" w:tplc="84205ED6">
      <w:numFmt w:val="bullet"/>
      <w:lvlText w:val="•"/>
      <w:lvlJc w:val="left"/>
      <w:pPr>
        <w:ind w:left="876" w:hanging="320"/>
      </w:pPr>
      <w:rPr>
        <w:rFonts w:hint="default"/>
      </w:rPr>
    </w:lvl>
    <w:lvl w:ilvl="4" w:tplc="D194B6C2">
      <w:numFmt w:val="bullet"/>
      <w:lvlText w:val="•"/>
      <w:lvlJc w:val="left"/>
      <w:pPr>
        <w:ind w:left="1014" w:hanging="320"/>
      </w:pPr>
      <w:rPr>
        <w:rFonts w:hint="default"/>
      </w:rPr>
    </w:lvl>
    <w:lvl w:ilvl="5" w:tplc="D12C0A6A">
      <w:numFmt w:val="bullet"/>
      <w:lvlText w:val="•"/>
      <w:lvlJc w:val="left"/>
      <w:pPr>
        <w:ind w:left="1153" w:hanging="320"/>
      </w:pPr>
      <w:rPr>
        <w:rFonts w:hint="default"/>
      </w:rPr>
    </w:lvl>
    <w:lvl w:ilvl="6" w:tplc="CBBA458A">
      <w:numFmt w:val="bullet"/>
      <w:lvlText w:val="•"/>
      <w:lvlJc w:val="left"/>
      <w:pPr>
        <w:ind w:left="1292" w:hanging="320"/>
      </w:pPr>
      <w:rPr>
        <w:rFonts w:hint="default"/>
      </w:rPr>
    </w:lvl>
    <w:lvl w:ilvl="7" w:tplc="45403364">
      <w:numFmt w:val="bullet"/>
      <w:lvlText w:val="•"/>
      <w:lvlJc w:val="left"/>
      <w:pPr>
        <w:ind w:left="1430" w:hanging="320"/>
      </w:pPr>
      <w:rPr>
        <w:rFonts w:hint="default"/>
      </w:rPr>
    </w:lvl>
    <w:lvl w:ilvl="8" w:tplc="DA7AF642">
      <w:numFmt w:val="bullet"/>
      <w:lvlText w:val="•"/>
      <w:lvlJc w:val="left"/>
      <w:pPr>
        <w:ind w:left="1569" w:hanging="320"/>
      </w:pPr>
      <w:rPr>
        <w:rFonts w:hint="default"/>
      </w:rPr>
    </w:lvl>
  </w:abstractNum>
  <w:abstractNum w:abstractNumId="35" w15:restartNumberingAfterBreak="0">
    <w:nsid w:val="7F512B27"/>
    <w:multiLevelType w:val="hybridMultilevel"/>
    <w:tmpl w:val="6F1C163C"/>
    <w:lvl w:ilvl="0" w:tplc="9EBAAC58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3242561">
    <w:abstractNumId w:val="5"/>
  </w:num>
  <w:num w:numId="2" w16cid:durableId="107244494">
    <w:abstractNumId w:val="6"/>
  </w:num>
  <w:num w:numId="3" w16cid:durableId="83693918">
    <w:abstractNumId w:val="35"/>
  </w:num>
  <w:num w:numId="4" w16cid:durableId="1232808294">
    <w:abstractNumId w:val="8"/>
  </w:num>
  <w:num w:numId="5" w16cid:durableId="505049876">
    <w:abstractNumId w:val="16"/>
  </w:num>
  <w:num w:numId="6" w16cid:durableId="192764593">
    <w:abstractNumId w:val="32"/>
  </w:num>
  <w:num w:numId="7" w16cid:durableId="1138766945">
    <w:abstractNumId w:val="31"/>
  </w:num>
  <w:num w:numId="8" w16cid:durableId="1784768844">
    <w:abstractNumId w:val="22"/>
  </w:num>
  <w:num w:numId="9" w16cid:durableId="472404198">
    <w:abstractNumId w:val="9"/>
  </w:num>
  <w:num w:numId="10" w16cid:durableId="1918053432">
    <w:abstractNumId w:val="30"/>
  </w:num>
  <w:num w:numId="11" w16cid:durableId="1563179478">
    <w:abstractNumId w:val="26"/>
  </w:num>
  <w:num w:numId="12" w16cid:durableId="1518694391">
    <w:abstractNumId w:val="20"/>
  </w:num>
  <w:num w:numId="13" w16cid:durableId="162550781">
    <w:abstractNumId w:val="7"/>
  </w:num>
  <w:num w:numId="14" w16cid:durableId="684131834">
    <w:abstractNumId w:val="29"/>
  </w:num>
  <w:num w:numId="15" w16cid:durableId="1473213117">
    <w:abstractNumId w:val="0"/>
  </w:num>
  <w:num w:numId="16" w16cid:durableId="1582521063">
    <w:abstractNumId w:val="34"/>
  </w:num>
  <w:num w:numId="17" w16cid:durableId="1309090727">
    <w:abstractNumId w:val="28"/>
  </w:num>
  <w:num w:numId="18" w16cid:durableId="992369078">
    <w:abstractNumId w:val="23"/>
  </w:num>
  <w:num w:numId="19" w16cid:durableId="1418134302">
    <w:abstractNumId w:val="18"/>
  </w:num>
  <w:num w:numId="20" w16cid:durableId="43529461">
    <w:abstractNumId w:val="15"/>
  </w:num>
  <w:num w:numId="21" w16cid:durableId="1641154951">
    <w:abstractNumId w:val="12"/>
  </w:num>
  <w:num w:numId="22" w16cid:durableId="931203863">
    <w:abstractNumId w:val="17"/>
  </w:num>
  <w:num w:numId="23" w16cid:durableId="1230848272">
    <w:abstractNumId w:val="24"/>
  </w:num>
  <w:num w:numId="24" w16cid:durableId="1652517212">
    <w:abstractNumId w:val="14"/>
  </w:num>
  <w:num w:numId="25" w16cid:durableId="87387656">
    <w:abstractNumId w:val="25"/>
  </w:num>
  <w:num w:numId="26" w16cid:durableId="1917132655">
    <w:abstractNumId w:val="10"/>
  </w:num>
  <w:num w:numId="27" w16cid:durableId="1275551518">
    <w:abstractNumId w:val="33"/>
  </w:num>
  <w:num w:numId="28" w16cid:durableId="507914078">
    <w:abstractNumId w:val="11"/>
  </w:num>
  <w:num w:numId="29" w16cid:durableId="1437288145">
    <w:abstractNumId w:val="3"/>
  </w:num>
  <w:num w:numId="30" w16cid:durableId="2106876339">
    <w:abstractNumId w:val="19"/>
  </w:num>
  <w:num w:numId="31" w16cid:durableId="491068404">
    <w:abstractNumId w:val="2"/>
  </w:num>
  <w:num w:numId="32" w16cid:durableId="2006397487">
    <w:abstractNumId w:val="27"/>
  </w:num>
  <w:num w:numId="33" w16cid:durableId="93288494">
    <w:abstractNumId w:val="21"/>
  </w:num>
  <w:num w:numId="34" w16cid:durableId="2118405305">
    <w:abstractNumId w:val="4"/>
  </w:num>
  <w:num w:numId="35" w16cid:durableId="13697293">
    <w:abstractNumId w:val="1"/>
  </w:num>
  <w:num w:numId="36" w16cid:durableId="122344535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uthor-Date&lt;/Style&gt;&lt;LeftDelim&gt;{&lt;/LeftDelim&gt;&lt;RightDelim&gt;}&lt;/RightDelim&gt;&lt;FontName&gt;Arial Narrow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pd000ez5wfsavetprqp0zsteexv52svf2zd&quot;&gt;My EndNote Library&lt;record-ids&gt;&lt;item&gt;1&lt;/item&gt;&lt;item&gt;4&lt;/item&gt;&lt;item&gt;11&lt;/item&gt;&lt;item&gt;13&lt;/item&gt;&lt;item&gt;14&lt;/item&gt;&lt;item&gt;15&lt;/item&gt;&lt;/record-ids&gt;&lt;/item&gt;&lt;/Libraries&gt;"/>
  </w:docVars>
  <w:rsids>
    <w:rsidRoot w:val="001325D1"/>
    <w:rsid w:val="000025B6"/>
    <w:rsid w:val="0000509C"/>
    <w:rsid w:val="000059BF"/>
    <w:rsid w:val="00011E0D"/>
    <w:rsid w:val="00013A50"/>
    <w:rsid w:val="00017505"/>
    <w:rsid w:val="000309B9"/>
    <w:rsid w:val="00032877"/>
    <w:rsid w:val="00035273"/>
    <w:rsid w:val="000373D4"/>
    <w:rsid w:val="00040969"/>
    <w:rsid w:val="00041903"/>
    <w:rsid w:val="000455BE"/>
    <w:rsid w:val="000467D8"/>
    <w:rsid w:val="000511D0"/>
    <w:rsid w:val="000513B0"/>
    <w:rsid w:val="00054DCB"/>
    <w:rsid w:val="00055FD4"/>
    <w:rsid w:val="00060C12"/>
    <w:rsid w:val="00061D19"/>
    <w:rsid w:val="00063044"/>
    <w:rsid w:val="000710D2"/>
    <w:rsid w:val="00073828"/>
    <w:rsid w:val="00074057"/>
    <w:rsid w:val="00080398"/>
    <w:rsid w:val="00085D91"/>
    <w:rsid w:val="00095DE2"/>
    <w:rsid w:val="000B0D12"/>
    <w:rsid w:val="000C1401"/>
    <w:rsid w:val="000C3DCC"/>
    <w:rsid w:val="000C6886"/>
    <w:rsid w:val="000D436A"/>
    <w:rsid w:val="000D7221"/>
    <w:rsid w:val="000E346C"/>
    <w:rsid w:val="000E3A86"/>
    <w:rsid w:val="000E6D37"/>
    <w:rsid w:val="000F7318"/>
    <w:rsid w:val="0010011D"/>
    <w:rsid w:val="001025FC"/>
    <w:rsid w:val="0010336C"/>
    <w:rsid w:val="00103B99"/>
    <w:rsid w:val="00103FA0"/>
    <w:rsid w:val="001051F6"/>
    <w:rsid w:val="00111F5C"/>
    <w:rsid w:val="00114862"/>
    <w:rsid w:val="00115B71"/>
    <w:rsid w:val="001164E3"/>
    <w:rsid w:val="0011773D"/>
    <w:rsid w:val="001213E8"/>
    <w:rsid w:val="00122BE7"/>
    <w:rsid w:val="001249A0"/>
    <w:rsid w:val="0013137D"/>
    <w:rsid w:val="00132540"/>
    <w:rsid w:val="001325D1"/>
    <w:rsid w:val="00132B3B"/>
    <w:rsid w:val="00137CA7"/>
    <w:rsid w:val="00144850"/>
    <w:rsid w:val="00162ACE"/>
    <w:rsid w:val="00175889"/>
    <w:rsid w:val="00182350"/>
    <w:rsid w:val="00184B84"/>
    <w:rsid w:val="00195A61"/>
    <w:rsid w:val="001A0AE5"/>
    <w:rsid w:val="001A0D7D"/>
    <w:rsid w:val="001A3032"/>
    <w:rsid w:val="001B1F58"/>
    <w:rsid w:val="001D227E"/>
    <w:rsid w:val="001E5205"/>
    <w:rsid w:val="001E702D"/>
    <w:rsid w:val="001F13A1"/>
    <w:rsid w:val="001F31ED"/>
    <w:rsid w:val="0021377B"/>
    <w:rsid w:val="00214F76"/>
    <w:rsid w:val="002177FB"/>
    <w:rsid w:val="00220FBB"/>
    <w:rsid w:val="002224C5"/>
    <w:rsid w:val="00236C6E"/>
    <w:rsid w:val="00237A17"/>
    <w:rsid w:val="0024207A"/>
    <w:rsid w:val="00243CFE"/>
    <w:rsid w:val="00250C86"/>
    <w:rsid w:val="00254342"/>
    <w:rsid w:val="00254FA5"/>
    <w:rsid w:val="0025579D"/>
    <w:rsid w:val="00255AF6"/>
    <w:rsid w:val="00270265"/>
    <w:rsid w:val="00270ABB"/>
    <w:rsid w:val="00271225"/>
    <w:rsid w:val="00282089"/>
    <w:rsid w:val="00287055"/>
    <w:rsid w:val="00290E28"/>
    <w:rsid w:val="00292EDF"/>
    <w:rsid w:val="00293318"/>
    <w:rsid w:val="002A10A3"/>
    <w:rsid w:val="002A2234"/>
    <w:rsid w:val="002A4E38"/>
    <w:rsid w:val="002B09ED"/>
    <w:rsid w:val="002B11BC"/>
    <w:rsid w:val="002D2A06"/>
    <w:rsid w:val="002D716C"/>
    <w:rsid w:val="002E2205"/>
    <w:rsid w:val="002E6873"/>
    <w:rsid w:val="002F3040"/>
    <w:rsid w:val="002F3550"/>
    <w:rsid w:val="002F52DF"/>
    <w:rsid w:val="00302571"/>
    <w:rsid w:val="00302766"/>
    <w:rsid w:val="00311CB4"/>
    <w:rsid w:val="00313E96"/>
    <w:rsid w:val="0031643B"/>
    <w:rsid w:val="003170EF"/>
    <w:rsid w:val="00321CF7"/>
    <w:rsid w:val="00323265"/>
    <w:rsid w:val="00324E28"/>
    <w:rsid w:val="003250C9"/>
    <w:rsid w:val="003261BE"/>
    <w:rsid w:val="00330DEF"/>
    <w:rsid w:val="00341361"/>
    <w:rsid w:val="00341AA4"/>
    <w:rsid w:val="00344EA4"/>
    <w:rsid w:val="00353494"/>
    <w:rsid w:val="00357E54"/>
    <w:rsid w:val="00363AAA"/>
    <w:rsid w:val="00374FFE"/>
    <w:rsid w:val="00375F84"/>
    <w:rsid w:val="00377AC9"/>
    <w:rsid w:val="00385DF9"/>
    <w:rsid w:val="003919EE"/>
    <w:rsid w:val="003944ED"/>
    <w:rsid w:val="003A5568"/>
    <w:rsid w:val="003B722C"/>
    <w:rsid w:val="003D0132"/>
    <w:rsid w:val="003E04F4"/>
    <w:rsid w:val="003E11A8"/>
    <w:rsid w:val="003E3D7B"/>
    <w:rsid w:val="003E6BF7"/>
    <w:rsid w:val="003F4C95"/>
    <w:rsid w:val="003F6A6E"/>
    <w:rsid w:val="004004FC"/>
    <w:rsid w:val="00404E77"/>
    <w:rsid w:val="00405549"/>
    <w:rsid w:val="004067E1"/>
    <w:rsid w:val="004142A8"/>
    <w:rsid w:val="0042240E"/>
    <w:rsid w:val="00427070"/>
    <w:rsid w:val="004270AD"/>
    <w:rsid w:val="00433076"/>
    <w:rsid w:val="004423A3"/>
    <w:rsid w:val="0044301B"/>
    <w:rsid w:val="00451827"/>
    <w:rsid w:val="004526FE"/>
    <w:rsid w:val="004530E5"/>
    <w:rsid w:val="00473D72"/>
    <w:rsid w:val="00485BC8"/>
    <w:rsid w:val="00486234"/>
    <w:rsid w:val="004A1B4A"/>
    <w:rsid w:val="004A694A"/>
    <w:rsid w:val="004B69EE"/>
    <w:rsid w:val="004C1F84"/>
    <w:rsid w:val="004C7785"/>
    <w:rsid w:val="004D63B7"/>
    <w:rsid w:val="004E393F"/>
    <w:rsid w:val="004E74B9"/>
    <w:rsid w:val="004F2218"/>
    <w:rsid w:val="004F53D7"/>
    <w:rsid w:val="004F6073"/>
    <w:rsid w:val="004F74A7"/>
    <w:rsid w:val="0051039D"/>
    <w:rsid w:val="005120D4"/>
    <w:rsid w:val="00512412"/>
    <w:rsid w:val="00512D06"/>
    <w:rsid w:val="005143B2"/>
    <w:rsid w:val="00520781"/>
    <w:rsid w:val="005265F9"/>
    <w:rsid w:val="0053027B"/>
    <w:rsid w:val="00531F9E"/>
    <w:rsid w:val="00536829"/>
    <w:rsid w:val="005402FA"/>
    <w:rsid w:val="00540F65"/>
    <w:rsid w:val="005523C3"/>
    <w:rsid w:val="005573A5"/>
    <w:rsid w:val="005621D2"/>
    <w:rsid w:val="005626C6"/>
    <w:rsid w:val="00567362"/>
    <w:rsid w:val="0056782B"/>
    <w:rsid w:val="00570132"/>
    <w:rsid w:val="0057144E"/>
    <w:rsid w:val="00575949"/>
    <w:rsid w:val="00576B16"/>
    <w:rsid w:val="005849C3"/>
    <w:rsid w:val="00590AB7"/>
    <w:rsid w:val="005A1482"/>
    <w:rsid w:val="005A4CA1"/>
    <w:rsid w:val="005C4550"/>
    <w:rsid w:val="005D7AB8"/>
    <w:rsid w:val="005E6986"/>
    <w:rsid w:val="005F39C5"/>
    <w:rsid w:val="005F6E12"/>
    <w:rsid w:val="005F700C"/>
    <w:rsid w:val="006031EA"/>
    <w:rsid w:val="00606289"/>
    <w:rsid w:val="0061098A"/>
    <w:rsid w:val="00611DF0"/>
    <w:rsid w:val="00614F15"/>
    <w:rsid w:val="0061503E"/>
    <w:rsid w:val="006152DF"/>
    <w:rsid w:val="00633331"/>
    <w:rsid w:val="00634D6B"/>
    <w:rsid w:val="00635BC4"/>
    <w:rsid w:val="00635CF0"/>
    <w:rsid w:val="00644931"/>
    <w:rsid w:val="00653F5F"/>
    <w:rsid w:val="0066224B"/>
    <w:rsid w:val="00664406"/>
    <w:rsid w:val="006773F0"/>
    <w:rsid w:val="00681108"/>
    <w:rsid w:val="006856DA"/>
    <w:rsid w:val="00691A3B"/>
    <w:rsid w:val="00692B2C"/>
    <w:rsid w:val="00693CF2"/>
    <w:rsid w:val="006973D6"/>
    <w:rsid w:val="006A4509"/>
    <w:rsid w:val="006D6839"/>
    <w:rsid w:val="006E1D04"/>
    <w:rsid w:val="006E676A"/>
    <w:rsid w:val="006E7E64"/>
    <w:rsid w:val="007017BB"/>
    <w:rsid w:val="007022D6"/>
    <w:rsid w:val="00702512"/>
    <w:rsid w:val="00702AB6"/>
    <w:rsid w:val="007039A8"/>
    <w:rsid w:val="00707AEE"/>
    <w:rsid w:val="00714336"/>
    <w:rsid w:val="007206D5"/>
    <w:rsid w:val="0072165D"/>
    <w:rsid w:val="0073074D"/>
    <w:rsid w:val="00731333"/>
    <w:rsid w:val="00731E1D"/>
    <w:rsid w:val="00732A4F"/>
    <w:rsid w:val="00743F8D"/>
    <w:rsid w:val="00746F54"/>
    <w:rsid w:val="00747D8D"/>
    <w:rsid w:val="0075504F"/>
    <w:rsid w:val="007550D7"/>
    <w:rsid w:val="00755B54"/>
    <w:rsid w:val="00756400"/>
    <w:rsid w:val="00757082"/>
    <w:rsid w:val="0075791A"/>
    <w:rsid w:val="007622E8"/>
    <w:rsid w:val="00764432"/>
    <w:rsid w:val="00766C2F"/>
    <w:rsid w:val="00770EE5"/>
    <w:rsid w:val="00777B45"/>
    <w:rsid w:val="00785A1C"/>
    <w:rsid w:val="007918BE"/>
    <w:rsid w:val="00791D13"/>
    <w:rsid w:val="00795103"/>
    <w:rsid w:val="00795192"/>
    <w:rsid w:val="007A4E9D"/>
    <w:rsid w:val="007B2B47"/>
    <w:rsid w:val="007C7CBE"/>
    <w:rsid w:val="007E4532"/>
    <w:rsid w:val="007F58AB"/>
    <w:rsid w:val="007F72B1"/>
    <w:rsid w:val="008110B3"/>
    <w:rsid w:val="00812AB5"/>
    <w:rsid w:val="00821F45"/>
    <w:rsid w:val="008268B3"/>
    <w:rsid w:val="00841E02"/>
    <w:rsid w:val="00842050"/>
    <w:rsid w:val="00847DBB"/>
    <w:rsid w:val="00852F27"/>
    <w:rsid w:val="00866ADE"/>
    <w:rsid w:val="00870AF9"/>
    <w:rsid w:val="008724A1"/>
    <w:rsid w:val="00883F31"/>
    <w:rsid w:val="008949BB"/>
    <w:rsid w:val="0089581D"/>
    <w:rsid w:val="008A1D75"/>
    <w:rsid w:val="008A2433"/>
    <w:rsid w:val="008A2B0C"/>
    <w:rsid w:val="008A64AF"/>
    <w:rsid w:val="008B1934"/>
    <w:rsid w:val="008B452C"/>
    <w:rsid w:val="008B7CDB"/>
    <w:rsid w:val="008C1B4B"/>
    <w:rsid w:val="008C3DDE"/>
    <w:rsid w:val="008D086B"/>
    <w:rsid w:val="008D0AFE"/>
    <w:rsid w:val="008D3677"/>
    <w:rsid w:val="008D3827"/>
    <w:rsid w:val="008D52B4"/>
    <w:rsid w:val="008D6084"/>
    <w:rsid w:val="008F63B9"/>
    <w:rsid w:val="008F6D93"/>
    <w:rsid w:val="00905CFD"/>
    <w:rsid w:val="00907141"/>
    <w:rsid w:val="00907D5A"/>
    <w:rsid w:val="00907EA8"/>
    <w:rsid w:val="00911A7C"/>
    <w:rsid w:val="00917E75"/>
    <w:rsid w:val="00917FC1"/>
    <w:rsid w:val="009206AE"/>
    <w:rsid w:val="00945125"/>
    <w:rsid w:val="0095761D"/>
    <w:rsid w:val="0096381F"/>
    <w:rsid w:val="00963BEA"/>
    <w:rsid w:val="00970F64"/>
    <w:rsid w:val="00991435"/>
    <w:rsid w:val="009918D4"/>
    <w:rsid w:val="00993514"/>
    <w:rsid w:val="0099509B"/>
    <w:rsid w:val="00995FD4"/>
    <w:rsid w:val="009A1BAC"/>
    <w:rsid w:val="009A4DEA"/>
    <w:rsid w:val="009A4FB6"/>
    <w:rsid w:val="009C49F0"/>
    <w:rsid w:val="009C4CFC"/>
    <w:rsid w:val="009C768D"/>
    <w:rsid w:val="009D2966"/>
    <w:rsid w:val="009D5E5F"/>
    <w:rsid w:val="009D7630"/>
    <w:rsid w:val="009E0468"/>
    <w:rsid w:val="009E2B09"/>
    <w:rsid w:val="009E5D45"/>
    <w:rsid w:val="00A00A9A"/>
    <w:rsid w:val="00A01940"/>
    <w:rsid w:val="00A07F65"/>
    <w:rsid w:val="00A13313"/>
    <w:rsid w:val="00A16981"/>
    <w:rsid w:val="00A2084B"/>
    <w:rsid w:val="00A23FF4"/>
    <w:rsid w:val="00A26800"/>
    <w:rsid w:val="00A35ADF"/>
    <w:rsid w:val="00A415F9"/>
    <w:rsid w:val="00A43FAD"/>
    <w:rsid w:val="00A45EA1"/>
    <w:rsid w:val="00A47FEB"/>
    <w:rsid w:val="00A51F41"/>
    <w:rsid w:val="00A61499"/>
    <w:rsid w:val="00A63327"/>
    <w:rsid w:val="00A654DF"/>
    <w:rsid w:val="00A67314"/>
    <w:rsid w:val="00A73BFA"/>
    <w:rsid w:val="00A76D1B"/>
    <w:rsid w:val="00A8631A"/>
    <w:rsid w:val="00A91AB8"/>
    <w:rsid w:val="00A9390B"/>
    <w:rsid w:val="00A96D53"/>
    <w:rsid w:val="00A96ECC"/>
    <w:rsid w:val="00AA21AB"/>
    <w:rsid w:val="00AB2008"/>
    <w:rsid w:val="00AB5785"/>
    <w:rsid w:val="00AB790D"/>
    <w:rsid w:val="00AC02CA"/>
    <w:rsid w:val="00AC4F40"/>
    <w:rsid w:val="00AC4FA9"/>
    <w:rsid w:val="00AD3A2F"/>
    <w:rsid w:val="00AE1DEA"/>
    <w:rsid w:val="00AE6B00"/>
    <w:rsid w:val="00AE7DA3"/>
    <w:rsid w:val="00AF073F"/>
    <w:rsid w:val="00B03C89"/>
    <w:rsid w:val="00B101D0"/>
    <w:rsid w:val="00B162F2"/>
    <w:rsid w:val="00B234CB"/>
    <w:rsid w:val="00B2414D"/>
    <w:rsid w:val="00B254F0"/>
    <w:rsid w:val="00B27C53"/>
    <w:rsid w:val="00B32B52"/>
    <w:rsid w:val="00B3421B"/>
    <w:rsid w:val="00B40961"/>
    <w:rsid w:val="00B430D5"/>
    <w:rsid w:val="00B506AC"/>
    <w:rsid w:val="00B5307D"/>
    <w:rsid w:val="00B54605"/>
    <w:rsid w:val="00B60DF6"/>
    <w:rsid w:val="00B61584"/>
    <w:rsid w:val="00B61ED6"/>
    <w:rsid w:val="00B71122"/>
    <w:rsid w:val="00B715DF"/>
    <w:rsid w:val="00B770F7"/>
    <w:rsid w:val="00B830EE"/>
    <w:rsid w:val="00B859E5"/>
    <w:rsid w:val="00B868C0"/>
    <w:rsid w:val="00B87770"/>
    <w:rsid w:val="00B922E8"/>
    <w:rsid w:val="00B92DEA"/>
    <w:rsid w:val="00B94B2B"/>
    <w:rsid w:val="00B952D5"/>
    <w:rsid w:val="00B974F7"/>
    <w:rsid w:val="00BA3666"/>
    <w:rsid w:val="00BA3C73"/>
    <w:rsid w:val="00BB0D6D"/>
    <w:rsid w:val="00BB1268"/>
    <w:rsid w:val="00BB44FB"/>
    <w:rsid w:val="00BB670F"/>
    <w:rsid w:val="00BC1930"/>
    <w:rsid w:val="00BD6D85"/>
    <w:rsid w:val="00BD7335"/>
    <w:rsid w:val="00BD7510"/>
    <w:rsid w:val="00BE01AE"/>
    <w:rsid w:val="00BE352E"/>
    <w:rsid w:val="00BF1B1C"/>
    <w:rsid w:val="00C0054E"/>
    <w:rsid w:val="00C1211B"/>
    <w:rsid w:val="00C2721B"/>
    <w:rsid w:val="00C33126"/>
    <w:rsid w:val="00C3547F"/>
    <w:rsid w:val="00C4231A"/>
    <w:rsid w:val="00C44D41"/>
    <w:rsid w:val="00C459EF"/>
    <w:rsid w:val="00C4642B"/>
    <w:rsid w:val="00C46B2B"/>
    <w:rsid w:val="00C5228D"/>
    <w:rsid w:val="00C617B0"/>
    <w:rsid w:val="00C70562"/>
    <w:rsid w:val="00C70957"/>
    <w:rsid w:val="00C73444"/>
    <w:rsid w:val="00C75847"/>
    <w:rsid w:val="00C767E2"/>
    <w:rsid w:val="00C84BC9"/>
    <w:rsid w:val="00C852C1"/>
    <w:rsid w:val="00C86BC6"/>
    <w:rsid w:val="00C90247"/>
    <w:rsid w:val="00C9261B"/>
    <w:rsid w:val="00C92E37"/>
    <w:rsid w:val="00C95E7D"/>
    <w:rsid w:val="00CA160A"/>
    <w:rsid w:val="00CB17A3"/>
    <w:rsid w:val="00CB3166"/>
    <w:rsid w:val="00CB77D6"/>
    <w:rsid w:val="00CD0CDF"/>
    <w:rsid w:val="00CE3B6C"/>
    <w:rsid w:val="00D00D13"/>
    <w:rsid w:val="00D048E6"/>
    <w:rsid w:val="00D05B8D"/>
    <w:rsid w:val="00D076D7"/>
    <w:rsid w:val="00D0788B"/>
    <w:rsid w:val="00D11224"/>
    <w:rsid w:val="00D13629"/>
    <w:rsid w:val="00D15887"/>
    <w:rsid w:val="00D22A0A"/>
    <w:rsid w:val="00D24274"/>
    <w:rsid w:val="00D272AA"/>
    <w:rsid w:val="00D476A8"/>
    <w:rsid w:val="00D520E7"/>
    <w:rsid w:val="00D527E1"/>
    <w:rsid w:val="00D54883"/>
    <w:rsid w:val="00D63280"/>
    <w:rsid w:val="00D65A0E"/>
    <w:rsid w:val="00D66E90"/>
    <w:rsid w:val="00D765A1"/>
    <w:rsid w:val="00D81439"/>
    <w:rsid w:val="00D81B42"/>
    <w:rsid w:val="00DA0F28"/>
    <w:rsid w:val="00DA6F1A"/>
    <w:rsid w:val="00DB1530"/>
    <w:rsid w:val="00DC4AB6"/>
    <w:rsid w:val="00DC583C"/>
    <w:rsid w:val="00DD0D4A"/>
    <w:rsid w:val="00DD4617"/>
    <w:rsid w:val="00DD46BB"/>
    <w:rsid w:val="00DD4D0A"/>
    <w:rsid w:val="00DD7D6B"/>
    <w:rsid w:val="00DE085E"/>
    <w:rsid w:val="00DE36B5"/>
    <w:rsid w:val="00DF4997"/>
    <w:rsid w:val="00E0042C"/>
    <w:rsid w:val="00E06C16"/>
    <w:rsid w:val="00E12F2A"/>
    <w:rsid w:val="00E133D1"/>
    <w:rsid w:val="00E17FDB"/>
    <w:rsid w:val="00E207AF"/>
    <w:rsid w:val="00E32470"/>
    <w:rsid w:val="00E432DC"/>
    <w:rsid w:val="00E45421"/>
    <w:rsid w:val="00E4679A"/>
    <w:rsid w:val="00E524DC"/>
    <w:rsid w:val="00E543BC"/>
    <w:rsid w:val="00E5763E"/>
    <w:rsid w:val="00E62D06"/>
    <w:rsid w:val="00E636E8"/>
    <w:rsid w:val="00E6403F"/>
    <w:rsid w:val="00E66DA1"/>
    <w:rsid w:val="00E76EF0"/>
    <w:rsid w:val="00E772D5"/>
    <w:rsid w:val="00E805A0"/>
    <w:rsid w:val="00E85E20"/>
    <w:rsid w:val="00E97E89"/>
    <w:rsid w:val="00EA1B7A"/>
    <w:rsid w:val="00EA3041"/>
    <w:rsid w:val="00EB51AA"/>
    <w:rsid w:val="00EC1EEE"/>
    <w:rsid w:val="00EC5671"/>
    <w:rsid w:val="00ED005D"/>
    <w:rsid w:val="00ED291D"/>
    <w:rsid w:val="00ED6DA0"/>
    <w:rsid w:val="00EE128B"/>
    <w:rsid w:val="00EE1740"/>
    <w:rsid w:val="00EE2AEC"/>
    <w:rsid w:val="00EE33EF"/>
    <w:rsid w:val="00EE5C85"/>
    <w:rsid w:val="00EE740F"/>
    <w:rsid w:val="00EF6F65"/>
    <w:rsid w:val="00EF7A34"/>
    <w:rsid w:val="00EF7D25"/>
    <w:rsid w:val="00F14EE9"/>
    <w:rsid w:val="00F17662"/>
    <w:rsid w:val="00F27679"/>
    <w:rsid w:val="00F305DC"/>
    <w:rsid w:val="00F31311"/>
    <w:rsid w:val="00F35627"/>
    <w:rsid w:val="00F4461A"/>
    <w:rsid w:val="00F46092"/>
    <w:rsid w:val="00F5751A"/>
    <w:rsid w:val="00F62810"/>
    <w:rsid w:val="00F64560"/>
    <w:rsid w:val="00F66CCB"/>
    <w:rsid w:val="00F756B4"/>
    <w:rsid w:val="00F76647"/>
    <w:rsid w:val="00F772CC"/>
    <w:rsid w:val="00F81606"/>
    <w:rsid w:val="00F8502A"/>
    <w:rsid w:val="00F856CD"/>
    <w:rsid w:val="00F9096B"/>
    <w:rsid w:val="00F909C9"/>
    <w:rsid w:val="00FA169D"/>
    <w:rsid w:val="00FA33A0"/>
    <w:rsid w:val="00FA3EB3"/>
    <w:rsid w:val="00FB4230"/>
    <w:rsid w:val="00FB4FB4"/>
    <w:rsid w:val="00FC07A0"/>
    <w:rsid w:val="00FC08BC"/>
    <w:rsid w:val="00FC3F42"/>
    <w:rsid w:val="00FD0F2D"/>
    <w:rsid w:val="00FE5656"/>
    <w:rsid w:val="00FE7DF8"/>
    <w:rsid w:val="00FF2673"/>
    <w:rsid w:val="00FF5EFF"/>
    <w:rsid w:val="00FF7AF7"/>
    <w:rsid w:val="09D5E571"/>
    <w:rsid w:val="0F36DD47"/>
    <w:rsid w:val="0F970B77"/>
    <w:rsid w:val="10765C0B"/>
    <w:rsid w:val="1332DBAF"/>
    <w:rsid w:val="14C964D6"/>
    <w:rsid w:val="1861F0B0"/>
    <w:rsid w:val="1BCA03DE"/>
    <w:rsid w:val="213A05FB"/>
    <w:rsid w:val="22D55C59"/>
    <w:rsid w:val="245D084C"/>
    <w:rsid w:val="286FC3EA"/>
    <w:rsid w:val="28E5AE51"/>
    <w:rsid w:val="2A8B13DA"/>
    <w:rsid w:val="2A98BA5C"/>
    <w:rsid w:val="2C9A1BBB"/>
    <w:rsid w:val="355B0F98"/>
    <w:rsid w:val="36900DB4"/>
    <w:rsid w:val="3E847DA6"/>
    <w:rsid w:val="41F5D82B"/>
    <w:rsid w:val="45C3D245"/>
    <w:rsid w:val="473B377D"/>
    <w:rsid w:val="58C71780"/>
    <w:rsid w:val="5BCC1A2B"/>
    <w:rsid w:val="61FC90A8"/>
    <w:rsid w:val="6CE3FC5E"/>
    <w:rsid w:val="6D34F4EE"/>
    <w:rsid w:val="6DC86B4F"/>
    <w:rsid w:val="73396795"/>
    <w:rsid w:val="7731A6EF"/>
    <w:rsid w:val="7BEBC32F"/>
    <w:rsid w:val="7F093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778F09"/>
  <w15:chartTrackingRefBased/>
  <w15:docId w15:val="{EA27D667-1511-4670-B6DB-B0619B41B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435"/>
    <w:pPr>
      <w:spacing w:after="120" w:line="288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6073"/>
    <w:pPr>
      <w:keepNext/>
      <w:keepLines/>
      <w:suppressAutoHyphens/>
      <w:spacing w:before="600" w:after="240" w:line="216" w:lineRule="auto"/>
      <w:ind w:right="4705"/>
      <w:outlineLvl w:val="0"/>
    </w:pPr>
    <w:rPr>
      <w:rFonts w:eastAsiaTheme="majorEastAsia" w:cs="Times New Roman (Headings CS)"/>
      <w:b/>
      <w:color w:val="5BC2E7" w:themeColor="accent1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144E"/>
    <w:pPr>
      <w:keepNext/>
      <w:keepLines/>
      <w:suppressAutoHyphens/>
      <w:spacing w:before="120" w:after="60" w:line="228" w:lineRule="auto"/>
      <w:outlineLvl w:val="1"/>
    </w:pPr>
    <w:rPr>
      <w:rFonts w:eastAsiaTheme="majorEastAsia" w:cs="Times New Roman (Headings CS)"/>
      <w:b/>
      <w:color w:val="000000" w:themeColor="text1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32877"/>
    <w:pPr>
      <w:keepNext/>
      <w:keepLines/>
      <w:spacing w:before="120" w:after="80" w:line="228" w:lineRule="auto"/>
      <w:outlineLvl w:val="2"/>
    </w:pPr>
    <w:rPr>
      <w:rFonts w:asciiTheme="majorHAnsi" w:eastAsiaTheme="majorEastAsia" w:hAnsiTheme="majorHAnsi" w:cs="Times New Roman (Headings CS)"/>
      <w:b/>
      <w:color w:val="5BC2E7"/>
      <w:sz w:val="30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32877"/>
    <w:pPr>
      <w:keepNext/>
      <w:keepLines/>
      <w:spacing w:before="120" w:after="80" w:line="228" w:lineRule="auto"/>
      <w:outlineLvl w:val="3"/>
    </w:pPr>
    <w:rPr>
      <w:rFonts w:eastAsiaTheme="majorEastAsia" w:cs="Times New Roman (Headings CS)"/>
      <w:b/>
      <w:iCs/>
      <w:color w:val="1E1248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459EF"/>
    <w:pPr>
      <w:keepNext/>
      <w:keepLines/>
      <w:suppressAutoHyphens/>
      <w:spacing w:before="240" w:after="80" w:line="240" w:lineRule="auto"/>
      <w:outlineLvl w:val="4"/>
    </w:pPr>
    <w:rPr>
      <w:rFonts w:eastAsiaTheme="majorEastAsia" w:cs="Times New Roman (Headings CS)"/>
      <w:b/>
      <w:color w:val="808180"/>
      <w:sz w:val="24"/>
    </w:rPr>
  </w:style>
  <w:style w:type="paragraph" w:styleId="Heading6">
    <w:name w:val="heading 6"/>
    <w:aliases w:val="Heading emphasis"/>
    <w:basedOn w:val="Normal"/>
    <w:next w:val="Normal"/>
    <w:link w:val="Heading6Char"/>
    <w:uiPriority w:val="9"/>
    <w:unhideWhenUsed/>
    <w:qFormat/>
    <w:rsid w:val="00D05B8D"/>
    <w:pPr>
      <w:keepNext/>
      <w:keepLines/>
      <w:spacing w:before="120" w:after="80" w:line="240" w:lineRule="auto"/>
      <w:outlineLvl w:val="5"/>
    </w:pPr>
    <w:rPr>
      <w:rFonts w:asciiTheme="majorHAnsi" w:eastAsiaTheme="majorEastAsia" w:hAnsiTheme="majorHAnsi" w:cstheme="majorBidi"/>
      <w:b/>
      <w:color w:val="ED6B5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736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  <w:color w:val="1E124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52D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0E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0EE5"/>
  </w:style>
  <w:style w:type="paragraph" w:styleId="Footer">
    <w:name w:val="footer"/>
    <w:basedOn w:val="Normal"/>
    <w:link w:val="FooterChar"/>
    <w:uiPriority w:val="99"/>
    <w:unhideWhenUsed/>
    <w:rsid w:val="00770E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0EE5"/>
  </w:style>
  <w:style w:type="character" w:customStyle="1" w:styleId="Heading1Char">
    <w:name w:val="Heading 1 Char"/>
    <w:basedOn w:val="DefaultParagraphFont"/>
    <w:link w:val="Heading1"/>
    <w:uiPriority w:val="9"/>
    <w:rsid w:val="004F6073"/>
    <w:rPr>
      <w:rFonts w:ascii="Arial" w:eastAsiaTheme="majorEastAsia" w:hAnsi="Arial" w:cs="Times New Roman (Headings CS)"/>
      <w:b/>
      <w:color w:val="5BC2E7" w:themeColor="accent1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7144E"/>
    <w:rPr>
      <w:rFonts w:ascii="Arial" w:eastAsiaTheme="majorEastAsia" w:hAnsi="Arial" w:cs="Times New Roman (Headings CS)"/>
      <w:b/>
      <w:color w:val="000000" w:themeColor="text1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32877"/>
    <w:rPr>
      <w:rFonts w:asciiTheme="majorHAnsi" w:eastAsiaTheme="majorEastAsia" w:hAnsiTheme="majorHAnsi" w:cs="Times New Roman (Headings CS)"/>
      <w:b/>
      <w:color w:val="5BC2E7"/>
      <w:sz w:val="3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032877"/>
    <w:rPr>
      <w:rFonts w:ascii="Arial" w:eastAsiaTheme="majorEastAsia" w:hAnsi="Arial" w:cs="Times New Roman (Headings CS)"/>
      <w:b/>
      <w:iCs/>
      <w:color w:val="1E1248"/>
      <w:sz w:val="24"/>
    </w:rPr>
  </w:style>
  <w:style w:type="table" w:styleId="TableGrid">
    <w:name w:val="Table Grid"/>
    <w:aliases w:val="VU Table Grid"/>
    <w:basedOn w:val="TableNormal"/>
    <w:uiPriority w:val="39"/>
    <w:rsid w:val="003E11A8"/>
    <w:pPr>
      <w:spacing w:after="0" w:line="240" w:lineRule="auto"/>
    </w:p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  <w:tblStylePr w:type="fir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</w:style>
  <w:style w:type="table" w:styleId="ListTable6Colorful-Accent1">
    <w:name w:val="List Table 6 Colorful Accent 1"/>
    <w:basedOn w:val="TableNormal"/>
    <w:uiPriority w:val="51"/>
    <w:rsid w:val="00292EDF"/>
    <w:pPr>
      <w:spacing w:after="0" w:line="240" w:lineRule="auto"/>
    </w:pPr>
    <w:rPr>
      <w:color w:val="1EA2D2" w:themeColor="accent1" w:themeShade="BF"/>
    </w:rPr>
    <w:tblPr>
      <w:tblStyleRowBandSize w:val="1"/>
      <w:tblStyleColBandSize w:val="1"/>
      <w:tblBorders>
        <w:top w:val="single" w:sz="4" w:space="0" w:color="5BC2E7" w:themeColor="accent1"/>
        <w:bottom w:val="single" w:sz="4" w:space="0" w:color="5BC2E7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C2E7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C2E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2FA" w:themeFill="accent1" w:themeFillTint="33"/>
      </w:tcPr>
    </w:tblStylePr>
    <w:tblStylePr w:type="band1Horz">
      <w:tblPr/>
      <w:tcPr>
        <w:shd w:val="clear" w:color="auto" w:fill="DEF2FA" w:themeFill="accent1" w:themeFillTint="33"/>
      </w:tcPr>
    </w:tblStylePr>
  </w:style>
  <w:style w:type="table" w:styleId="ListTable4-Accent1">
    <w:name w:val="List Table 4 Accent 1"/>
    <w:basedOn w:val="TableNormal"/>
    <w:uiPriority w:val="49"/>
    <w:rsid w:val="00292EDF"/>
    <w:pPr>
      <w:spacing w:after="0" w:line="240" w:lineRule="auto"/>
    </w:pPr>
    <w:rPr>
      <w:rFonts w:ascii="Arial Narrow" w:hAnsi="Arial Narrow"/>
      <w:sz w:val="20"/>
    </w:rPr>
    <w:tblPr>
      <w:tblStyleRowBandSize w:val="1"/>
      <w:tblStyleColBandSize w:val="1"/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C2E7" w:themeColor="accent1"/>
          <w:left w:val="single" w:sz="4" w:space="0" w:color="5BC2E7" w:themeColor="accent1"/>
          <w:bottom w:val="single" w:sz="4" w:space="0" w:color="5BC2E7" w:themeColor="accent1"/>
          <w:right w:val="single" w:sz="4" w:space="0" w:color="5BC2E7" w:themeColor="accent1"/>
          <w:insideH w:val="nil"/>
        </w:tcBorders>
        <w:shd w:val="clear" w:color="auto" w:fill="5BC2E7" w:themeFill="accent1"/>
      </w:tcPr>
    </w:tblStylePr>
    <w:tblStylePr w:type="lastRow">
      <w:rPr>
        <w:b/>
        <w:bCs/>
      </w:rPr>
      <w:tblPr/>
      <w:tcPr>
        <w:tcBorders>
          <w:top w:val="double" w:sz="4" w:space="0" w:color="9CDAF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2" w:themeFillShade="F2"/>
      </w:tcPr>
    </w:tblStylePr>
    <w:tblStylePr w:type="band1Horz">
      <w:tblPr/>
      <w:tcPr>
        <w:shd w:val="clear" w:color="auto" w:fill="F2F2F2" w:themeFill="background2" w:themeFillShade="F2"/>
      </w:tcPr>
    </w:tblStylePr>
  </w:style>
  <w:style w:type="paragraph" w:styleId="ListParagraph">
    <w:name w:val="List Paragraph"/>
    <w:basedOn w:val="Normal"/>
    <w:uiPriority w:val="1"/>
    <w:qFormat/>
    <w:rsid w:val="00292EDF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1A0D7D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E432DC"/>
    <w:pPr>
      <w:tabs>
        <w:tab w:val="right" w:pos="9628"/>
      </w:tabs>
      <w:spacing w:after="100"/>
    </w:pPr>
    <w:rPr>
      <w:b/>
      <w:color w:val="000000" w:themeColor="text1"/>
    </w:rPr>
  </w:style>
  <w:style w:type="paragraph" w:styleId="TOC2">
    <w:name w:val="toc 2"/>
    <w:basedOn w:val="Normal"/>
    <w:next w:val="Normal"/>
    <w:autoRedefine/>
    <w:uiPriority w:val="39"/>
    <w:unhideWhenUsed/>
    <w:rsid w:val="008D52B4"/>
    <w:pPr>
      <w:tabs>
        <w:tab w:val="left" w:pos="567"/>
        <w:tab w:val="right" w:pos="9639"/>
      </w:tabs>
      <w:spacing w:after="100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785A1C"/>
    <w:pPr>
      <w:tabs>
        <w:tab w:val="right" w:pos="9639"/>
      </w:tabs>
      <w:spacing w:after="100"/>
      <w:ind w:left="284"/>
    </w:pPr>
    <w:rPr>
      <w:rFonts w:cs="Times New Roman (Body CS)"/>
      <w:noProof/>
      <w:sz w:val="20"/>
    </w:rPr>
  </w:style>
  <w:style w:type="character" w:styleId="Hyperlink">
    <w:name w:val="Hyperlink"/>
    <w:basedOn w:val="DefaultParagraphFont"/>
    <w:uiPriority w:val="99"/>
    <w:unhideWhenUsed/>
    <w:rsid w:val="000C1401"/>
    <w:rPr>
      <w:color w:val="0C71AC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B430D5"/>
    <w:pPr>
      <w:suppressAutoHyphens/>
      <w:snapToGrid w:val="0"/>
      <w:spacing w:after="0" w:line="240" w:lineRule="auto"/>
    </w:pPr>
    <w:rPr>
      <w:i/>
      <w:iCs/>
      <w:color w:val="262626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7E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7E5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07EA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AU"/>
    </w:rPr>
  </w:style>
  <w:style w:type="paragraph" w:customStyle="1" w:styleId="EndNoteBibliographyTitle">
    <w:name w:val="EndNote Bibliography Title"/>
    <w:basedOn w:val="Normal"/>
    <w:link w:val="EndNoteBibliographyTitleChar"/>
    <w:rsid w:val="0044301B"/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4301B"/>
    <w:rPr>
      <w:rFonts w:ascii="Arial" w:hAnsi="Arial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44301B"/>
    <w:pPr>
      <w:spacing w:line="240" w:lineRule="auto"/>
    </w:pPr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4301B"/>
    <w:rPr>
      <w:rFonts w:ascii="Arial" w:hAnsi="Arial"/>
      <w:noProof/>
      <w:lang w:val="en-US"/>
    </w:rPr>
  </w:style>
  <w:style w:type="table" w:styleId="ListTable1Light">
    <w:name w:val="List Table 1 Light"/>
    <w:aliases w:val="Victoria University"/>
    <w:basedOn w:val="TableNormal"/>
    <w:uiPriority w:val="46"/>
    <w:rsid w:val="004B69EE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rFonts w:asciiTheme="majorHAnsi" w:hAnsiTheme="majorHAnsi"/>
        <w:b/>
        <w:bCs/>
        <w:color w:val="5BC2E7" w:themeColor="accent1"/>
        <w:sz w:val="24"/>
      </w:rPr>
      <w:tblPr/>
      <w:tcPr>
        <w:shd w:val="clear" w:color="auto" w:fill="1E1248"/>
      </w:tcPr>
    </w:tblStylePr>
    <w:tblStylePr w:type="lastRow">
      <w:rPr>
        <w:rFonts w:asciiTheme="minorHAnsi" w:hAnsiTheme="minorHAnsi"/>
        <w:b/>
        <w:bCs/>
        <w:sz w:val="20"/>
      </w:rPr>
      <w:tblPr/>
      <w:tcPr>
        <w:tcBorders>
          <w:top w:val="double" w:sz="4" w:space="0" w:color="1E1248" w:themeColor="accent2"/>
        </w:tcBorders>
      </w:tcPr>
    </w:tblStylePr>
    <w:tblStylePr w:type="firstCol">
      <w:rPr>
        <w:rFonts w:asciiTheme="minorHAnsi" w:hAnsiTheme="minorHAnsi"/>
        <w:b/>
        <w:bCs/>
        <w:color w:val="FFFFFF" w:themeColor="background1"/>
        <w:sz w:val="20"/>
      </w:rPr>
      <w:tblPr/>
      <w:tcPr>
        <w:shd w:val="clear" w:color="auto" w:fill="5BC2E7" w:themeFill="accent1"/>
      </w:tcPr>
    </w:tblStylePr>
    <w:tblStylePr w:type="lastCol">
      <w:rPr>
        <w:b/>
        <w:bCs/>
      </w:rPr>
    </w:tblStylePr>
    <w:tblStylePr w:type="band2Vert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character" w:styleId="PlaceholderText">
    <w:name w:val="Placeholder Text"/>
    <w:basedOn w:val="DefaultParagraphFont"/>
    <w:uiPriority w:val="99"/>
    <w:semiHidden/>
    <w:rsid w:val="00AE1DEA"/>
    <w:rPr>
      <w:color w:val="808080"/>
    </w:rPr>
  </w:style>
  <w:style w:type="character" w:styleId="IntenseEmphasis">
    <w:name w:val="Intense Emphasis"/>
    <w:basedOn w:val="DefaultParagraphFont"/>
    <w:uiPriority w:val="21"/>
    <w:qFormat/>
    <w:rsid w:val="008D3677"/>
    <w:rPr>
      <w:b/>
      <w:i w:val="0"/>
      <w:iCs/>
      <w:color w:val="1E1248"/>
    </w:rPr>
  </w:style>
  <w:style w:type="character" w:styleId="CommentReference">
    <w:name w:val="annotation reference"/>
    <w:basedOn w:val="DefaultParagraphFont"/>
    <w:uiPriority w:val="99"/>
    <w:semiHidden/>
    <w:unhideWhenUsed/>
    <w:rsid w:val="008110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10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10B3"/>
    <w:rPr>
      <w:rFonts w:ascii="Arial Narrow" w:hAnsi="Arial Narrow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10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10B3"/>
    <w:rPr>
      <w:rFonts w:ascii="Arial Narrow" w:hAnsi="Arial Narrow"/>
      <w:b/>
      <w:b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307D"/>
    <w:pPr>
      <w:pBdr>
        <w:top w:val="single" w:sz="4" w:space="10" w:color="1E1248"/>
        <w:bottom w:val="single" w:sz="4" w:space="10" w:color="1E1248"/>
      </w:pBdr>
      <w:spacing w:before="240" w:after="240"/>
    </w:pPr>
    <w:rPr>
      <w:b/>
      <w:iCs/>
      <w:color w:val="1E124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307D"/>
    <w:rPr>
      <w:rFonts w:ascii="Arial" w:hAnsi="Arial"/>
      <w:b/>
      <w:iCs/>
      <w:color w:val="1E1248"/>
    </w:rPr>
  </w:style>
  <w:style w:type="character" w:styleId="IntenseReference">
    <w:name w:val="Intense Reference"/>
    <w:basedOn w:val="DefaultParagraphFont"/>
    <w:uiPriority w:val="32"/>
    <w:qFormat/>
    <w:rsid w:val="00236C6E"/>
    <w:rPr>
      <w:b/>
      <w:bCs/>
      <w:smallCaps/>
      <w:color w:val="5BC2E7" w:themeColor="accent1"/>
      <w:spacing w:val="5"/>
    </w:rPr>
  </w:style>
  <w:style w:type="paragraph" w:styleId="NoSpacing">
    <w:name w:val="No Spacing"/>
    <w:uiPriority w:val="1"/>
    <w:qFormat/>
    <w:rsid w:val="00C2721B"/>
    <w:pPr>
      <w:spacing w:after="0" w:line="240" w:lineRule="auto"/>
    </w:pPr>
    <w:rPr>
      <w:rFonts w:ascii="Arial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CA160A"/>
    <w:pPr>
      <w:suppressAutoHyphens/>
      <w:spacing w:before="160" w:after="60" w:line="264" w:lineRule="auto"/>
      <w:contextualSpacing/>
    </w:pPr>
    <w:rPr>
      <w:rFonts w:eastAsiaTheme="majorEastAsia" w:cstheme="majorBidi"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160A"/>
    <w:rPr>
      <w:rFonts w:ascii="Arial" w:eastAsiaTheme="majorEastAsia" w:hAnsi="Arial" w:cstheme="majorBidi"/>
      <w:spacing w:val="-10"/>
      <w:kern w:val="28"/>
      <w:sz w:val="36"/>
      <w:szCs w:val="56"/>
    </w:rPr>
  </w:style>
  <w:style w:type="paragraph" w:styleId="BodyText">
    <w:name w:val="Body Text"/>
    <w:basedOn w:val="Normal"/>
    <w:link w:val="BodyTextChar"/>
    <w:uiPriority w:val="1"/>
    <w:qFormat/>
    <w:rsid w:val="00C9261B"/>
    <w:pPr>
      <w:widowControl w:val="0"/>
      <w:tabs>
        <w:tab w:val="left" w:pos="284"/>
        <w:tab w:val="left" w:pos="567"/>
        <w:tab w:val="left" w:pos="851"/>
      </w:tabs>
      <w:autoSpaceDE w:val="0"/>
      <w:autoSpaceDN w:val="0"/>
      <w:adjustRightInd w:val="0"/>
      <w:spacing w:before="120" w:line="312" w:lineRule="auto"/>
    </w:pPr>
    <w:rPr>
      <w:rFonts w:eastAsiaTheme="minorEastAsia" w:cs="Arial Narrow"/>
      <w:lang w:eastAsia="en-AU"/>
    </w:rPr>
  </w:style>
  <w:style w:type="character" w:customStyle="1" w:styleId="BodyTextChar">
    <w:name w:val="Body Text Char"/>
    <w:basedOn w:val="DefaultParagraphFont"/>
    <w:link w:val="BodyText"/>
    <w:uiPriority w:val="1"/>
    <w:rsid w:val="00C9261B"/>
    <w:rPr>
      <w:rFonts w:ascii="Arial" w:eastAsiaTheme="minorEastAsia" w:hAnsi="Arial" w:cs="Arial Narrow"/>
      <w:lang w:eastAsia="en-AU"/>
    </w:rPr>
  </w:style>
  <w:style w:type="table" w:styleId="ListTable2-Accent1">
    <w:name w:val="List Table 2 Accent 1"/>
    <w:basedOn w:val="TableNormal"/>
    <w:uiPriority w:val="47"/>
    <w:rsid w:val="00D81B42"/>
    <w:pPr>
      <w:spacing w:after="0" w:line="240" w:lineRule="auto"/>
    </w:pPr>
    <w:tblPr>
      <w:tblStyleRowBandSize w:val="1"/>
      <w:tblStyleColBandSize w:val="1"/>
      <w:tblBorders>
        <w:top w:val="single" w:sz="4" w:space="0" w:color="9CDAF0" w:themeColor="accent1" w:themeTint="99"/>
        <w:bottom w:val="single" w:sz="4" w:space="0" w:color="9CDAF0" w:themeColor="accent1" w:themeTint="99"/>
        <w:insideH w:val="single" w:sz="4" w:space="0" w:color="9CDAF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2FA" w:themeFill="accent1" w:themeFillTint="33"/>
      </w:tcPr>
    </w:tblStylePr>
    <w:tblStylePr w:type="band1Horz">
      <w:tblPr/>
      <w:tcPr>
        <w:shd w:val="clear" w:color="auto" w:fill="DEF2FA" w:themeFill="accent1" w:themeFillTint="33"/>
      </w:tcPr>
    </w:tblStylePr>
  </w:style>
  <w:style w:type="table" w:styleId="MediumShading1-Accent1">
    <w:name w:val="Medium Shading 1 Accent 1"/>
    <w:basedOn w:val="TableNormal"/>
    <w:uiPriority w:val="63"/>
    <w:rsid w:val="00756400"/>
    <w:pPr>
      <w:spacing w:after="0" w:line="240" w:lineRule="auto"/>
    </w:pPr>
    <w:tblPr>
      <w:tblStyleRowBandSize w:val="1"/>
      <w:tblStyleColBandSize w:val="1"/>
      <w:tblBorders>
        <w:top w:val="single" w:sz="8" w:space="0" w:color="84D1ED" w:themeColor="accent1" w:themeTint="BF"/>
        <w:left w:val="single" w:sz="8" w:space="0" w:color="84D1ED" w:themeColor="accent1" w:themeTint="BF"/>
        <w:bottom w:val="single" w:sz="8" w:space="0" w:color="84D1ED" w:themeColor="accent1" w:themeTint="BF"/>
        <w:right w:val="single" w:sz="8" w:space="0" w:color="84D1ED" w:themeColor="accent1" w:themeTint="BF"/>
        <w:insideH w:val="single" w:sz="8" w:space="0" w:color="84D1E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D1ED" w:themeColor="accent1" w:themeTint="BF"/>
          <w:left w:val="single" w:sz="8" w:space="0" w:color="84D1ED" w:themeColor="accent1" w:themeTint="BF"/>
          <w:bottom w:val="single" w:sz="8" w:space="0" w:color="84D1ED" w:themeColor="accent1" w:themeTint="BF"/>
          <w:right w:val="single" w:sz="8" w:space="0" w:color="84D1ED" w:themeColor="accent1" w:themeTint="BF"/>
          <w:insideH w:val="nil"/>
          <w:insideV w:val="nil"/>
        </w:tcBorders>
        <w:shd w:val="clear" w:color="auto" w:fill="5BC2E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D1ED" w:themeColor="accent1" w:themeTint="BF"/>
          <w:left w:val="single" w:sz="8" w:space="0" w:color="84D1ED" w:themeColor="accent1" w:themeTint="BF"/>
          <w:bottom w:val="single" w:sz="8" w:space="0" w:color="84D1ED" w:themeColor="accent1" w:themeTint="BF"/>
          <w:right w:val="single" w:sz="8" w:space="0" w:color="84D1E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1"/>
    <w:rsid w:val="00C459EF"/>
    <w:rPr>
      <w:rFonts w:ascii="Arial" w:eastAsiaTheme="majorEastAsia" w:hAnsi="Arial" w:cs="Times New Roman (Headings CS)"/>
      <w:b/>
      <w:color w:val="808180"/>
      <w:sz w:val="24"/>
    </w:rPr>
  </w:style>
  <w:style w:type="character" w:customStyle="1" w:styleId="Heading6Char">
    <w:name w:val="Heading 6 Char"/>
    <w:aliases w:val="Heading emphasis Char"/>
    <w:basedOn w:val="DefaultParagraphFont"/>
    <w:link w:val="Heading6"/>
    <w:uiPriority w:val="9"/>
    <w:rsid w:val="00D05B8D"/>
    <w:rPr>
      <w:rFonts w:asciiTheme="majorHAnsi" w:eastAsiaTheme="majorEastAsia" w:hAnsiTheme="majorHAnsi" w:cstheme="majorBidi"/>
      <w:b/>
      <w:color w:val="ED6B5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7362"/>
    <w:rPr>
      <w:rFonts w:asciiTheme="majorHAnsi" w:eastAsiaTheme="majorEastAsia" w:hAnsiTheme="majorHAnsi" w:cstheme="majorBidi"/>
      <w:iCs/>
      <w:color w:val="1E1248"/>
    </w:rPr>
  </w:style>
  <w:style w:type="paragraph" w:customStyle="1" w:styleId="CoverHeadline">
    <w:name w:val="Cover Headline"/>
    <w:basedOn w:val="Normal"/>
    <w:qFormat/>
    <w:rsid w:val="00606289"/>
    <w:pPr>
      <w:spacing w:after="440" w:line="216" w:lineRule="auto"/>
      <w:ind w:right="1557"/>
    </w:pPr>
    <w:rPr>
      <w:b/>
      <w:bCs/>
      <w:color w:val="5BC2E7"/>
      <w:sz w:val="96"/>
      <w:szCs w:val="96"/>
      <w:lang w:val="en-US"/>
    </w:rPr>
  </w:style>
  <w:style w:type="table" w:styleId="GridTable1Light-Accent2">
    <w:name w:val="Grid Table 1 Light Accent 2"/>
    <w:basedOn w:val="TableNormal"/>
    <w:uiPriority w:val="46"/>
    <w:rsid w:val="009206AE"/>
    <w:pPr>
      <w:spacing w:after="0" w:line="240" w:lineRule="auto"/>
    </w:pPr>
    <w:tblPr>
      <w:tblStyleRowBandSize w:val="1"/>
      <w:tblStyleColBandSize w:val="1"/>
      <w:tblBorders>
        <w:top w:val="single" w:sz="4" w:space="0" w:color="1E1248"/>
        <w:left w:val="single" w:sz="4" w:space="0" w:color="1E1248"/>
        <w:bottom w:val="single" w:sz="4" w:space="0" w:color="1E1248"/>
        <w:right w:val="single" w:sz="4" w:space="0" w:color="1E1248"/>
        <w:insideH w:val="single" w:sz="4" w:space="0" w:color="1E1248"/>
        <w:insideV w:val="single" w:sz="4" w:space="0" w:color="1E1248"/>
      </w:tblBorders>
    </w:tblPr>
    <w:tblStylePr w:type="firstRow">
      <w:rPr>
        <w:b/>
        <w:bCs/>
      </w:rPr>
      <w:tblPr/>
      <w:tcPr>
        <w:tcBorders>
          <w:bottom w:val="single" w:sz="12" w:space="0" w:color="5635C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E124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9E5D45"/>
    <w:pPr>
      <w:spacing w:after="0" w:line="240" w:lineRule="auto"/>
    </w:pPr>
    <w:tblPr>
      <w:tblStyleRowBandSize w:val="1"/>
      <w:tblStyleColBandSize w:val="1"/>
      <w:tblBorders>
        <w:top w:val="single" w:sz="4" w:space="0" w:color="E0D6ED" w:themeColor="accent4" w:themeTint="66"/>
        <w:left w:val="single" w:sz="4" w:space="0" w:color="E0D6ED" w:themeColor="accent4" w:themeTint="66"/>
        <w:bottom w:val="single" w:sz="4" w:space="0" w:color="E0D6ED" w:themeColor="accent4" w:themeTint="66"/>
        <w:right w:val="single" w:sz="4" w:space="0" w:color="E0D6ED" w:themeColor="accent4" w:themeTint="66"/>
        <w:insideH w:val="single" w:sz="4" w:space="0" w:color="E0D6ED" w:themeColor="accent4" w:themeTint="66"/>
        <w:insideV w:val="single" w:sz="4" w:space="0" w:color="E0D6ED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1C2E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1C2E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2">
    <w:name w:val="Grid Table 2 Accent 2"/>
    <w:basedOn w:val="TableNormal"/>
    <w:uiPriority w:val="47"/>
    <w:rsid w:val="00E6403F"/>
    <w:pPr>
      <w:spacing w:after="0" w:line="240" w:lineRule="auto"/>
    </w:pPr>
    <w:tblPr>
      <w:tblStyleRowBandSize w:val="1"/>
      <w:tblStyleColBandSize w:val="1"/>
      <w:tblBorders>
        <w:top w:val="single" w:sz="2" w:space="0" w:color="5635CC" w:themeColor="accent2" w:themeTint="99"/>
        <w:bottom w:val="single" w:sz="2" w:space="0" w:color="5635CC" w:themeColor="accent2" w:themeTint="99"/>
        <w:insideH w:val="single" w:sz="2" w:space="0" w:color="5635CC" w:themeColor="accent2" w:themeTint="99"/>
        <w:insideV w:val="single" w:sz="2" w:space="0" w:color="5635C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635C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635C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BBEE" w:themeFill="accent2" w:themeFillTint="33"/>
      </w:tcPr>
    </w:tblStylePr>
    <w:tblStylePr w:type="band1Horz">
      <w:tblPr/>
      <w:tcPr>
        <w:shd w:val="clear" w:color="auto" w:fill="C6BBEE" w:themeFill="accent2" w:themeFillTint="33"/>
      </w:tcPr>
    </w:tblStylePr>
  </w:style>
  <w:style w:type="table" w:styleId="ListTable7Colorful-Accent6">
    <w:name w:val="List Table 7 Colorful Accent 6"/>
    <w:basedOn w:val="TableNormal"/>
    <w:uiPriority w:val="52"/>
    <w:rsid w:val="003A5568"/>
    <w:pPr>
      <w:spacing w:after="0" w:line="240" w:lineRule="auto"/>
    </w:pPr>
    <w:rPr>
      <w:color w:val="52525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E6E6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E6E6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E6E6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E6E6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2E2" w:themeFill="accent6" w:themeFillTint="33"/>
      </w:tcPr>
    </w:tblStylePr>
    <w:tblStylePr w:type="band1Horz">
      <w:tblPr/>
      <w:tcPr>
        <w:shd w:val="clear" w:color="auto" w:fill="E2E2E2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AC4F40"/>
    <w:pPr>
      <w:spacing w:after="0" w:line="240" w:lineRule="auto"/>
    </w:pPr>
    <w:rPr>
      <w:b/>
      <w:color w:val="000000" w:themeColor="text1"/>
    </w:rPr>
    <w:tblPr>
      <w:tblStyleRowBandSize w:val="1"/>
      <w:tblStyleColBandSize w:val="1"/>
      <w:tblBorders>
        <w:top w:val="single" w:sz="4" w:space="0" w:color="FFFFFF" w:themeColor="background2"/>
        <w:bottom w:val="single" w:sz="4" w:space="0" w:color="FFFFFF" w:themeColor="background2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E1248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Emphasis">
    <w:name w:val="Emphasis"/>
    <w:basedOn w:val="DefaultParagraphFont"/>
    <w:uiPriority w:val="20"/>
    <w:qFormat/>
    <w:rsid w:val="00132B3B"/>
    <w:rPr>
      <w:b/>
      <w:i w:val="0"/>
      <w:iCs/>
    </w:rPr>
  </w:style>
  <w:style w:type="character" w:styleId="SubtleEmphasis">
    <w:name w:val="Subtle Emphasis"/>
    <w:basedOn w:val="DefaultParagraphFont"/>
    <w:uiPriority w:val="19"/>
    <w:qFormat/>
    <w:rsid w:val="00132B3B"/>
    <w:rPr>
      <w:b/>
      <w:i w:val="0"/>
      <w:iCs/>
      <w:color w:val="8081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2B3B"/>
    <w:pPr>
      <w:numPr>
        <w:ilvl w:val="1"/>
      </w:numPr>
      <w:spacing w:after="160"/>
    </w:pPr>
    <w:rPr>
      <w:rFonts w:asciiTheme="minorHAnsi" w:eastAsiaTheme="minorEastAsia" w:hAnsiTheme="minorHAnsi" w:cs="Times New Roman (Body CS)"/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rsid w:val="00132B3B"/>
    <w:rPr>
      <w:rFonts w:eastAsiaTheme="minorEastAsia" w:cs="Times New Roman (Body CS)"/>
      <w:color w:val="5A5A5A" w:themeColor="text1" w:themeTint="A5"/>
    </w:rPr>
  </w:style>
  <w:style w:type="character" w:styleId="Strong">
    <w:name w:val="Strong"/>
    <w:basedOn w:val="DefaultParagraphFont"/>
    <w:uiPriority w:val="22"/>
    <w:qFormat/>
    <w:rsid w:val="00A96D53"/>
    <w:rPr>
      <w:b/>
      <w:bCs/>
    </w:rPr>
  </w:style>
  <w:style w:type="table" w:styleId="TableGridLight">
    <w:name w:val="Grid Table Light"/>
    <w:basedOn w:val="TableNormal"/>
    <w:uiPriority w:val="40"/>
    <w:rsid w:val="00F7664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8Char">
    <w:name w:val="Heading 8 Char"/>
    <w:basedOn w:val="DefaultParagraphFont"/>
    <w:link w:val="Heading8"/>
    <w:uiPriority w:val="9"/>
    <w:semiHidden/>
    <w:rsid w:val="002F52D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ListParagraph1">
    <w:name w:val="List Paragraph1"/>
    <w:basedOn w:val="ListParagraph"/>
    <w:qFormat/>
    <w:rsid w:val="00590AB7"/>
    <w:pPr>
      <w:keepLines/>
      <w:widowControl w:val="0"/>
      <w:numPr>
        <w:numId w:val="9"/>
      </w:numPr>
      <w:tabs>
        <w:tab w:val="left" w:pos="2835"/>
        <w:tab w:val="left" w:pos="5670"/>
      </w:tabs>
      <w:autoSpaceDE w:val="0"/>
      <w:autoSpaceDN w:val="0"/>
      <w:adjustRightInd w:val="0"/>
      <w:spacing w:line="264" w:lineRule="auto"/>
      <w:ind w:hanging="284"/>
      <w:contextualSpacing w:val="0"/>
    </w:pPr>
  </w:style>
  <w:style w:type="paragraph" w:customStyle="1" w:styleId="Headin4">
    <w:name w:val="Headin 4"/>
    <w:basedOn w:val="Heading2"/>
    <w:qFormat/>
    <w:rsid w:val="003250C9"/>
    <w:pPr>
      <w:suppressAutoHyphens w:val="0"/>
      <w:spacing w:before="200" w:after="120" w:line="240" w:lineRule="auto"/>
    </w:pPr>
    <w:rPr>
      <w:rFonts w:ascii="Arial Narrow" w:hAnsi="Arial Narrow" w:cstheme="majorBidi"/>
      <w:color w:val="5BC2E7"/>
      <w:sz w:val="24"/>
    </w:rPr>
  </w:style>
  <w:style w:type="paragraph" w:customStyle="1" w:styleId="TextIndent">
    <w:name w:val="Text Indent"/>
    <w:basedOn w:val="BodyText"/>
    <w:qFormat/>
    <w:rsid w:val="003250C9"/>
    <w:pPr>
      <w:tabs>
        <w:tab w:val="clear" w:pos="284"/>
        <w:tab w:val="clear" w:pos="567"/>
        <w:tab w:val="clear" w:pos="851"/>
      </w:tabs>
      <w:adjustRightInd/>
      <w:spacing w:before="60"/>
      <w:ind w:left="284" w:hanging="284"/>
    </w:pPr>
    <w:rPr>
      <w:rFonts w:ascii="Arial Narrow" w:eastAsia="Arial Narrow" w:hAnsi="Arial Narrow"/>
      <w:color w:val="000000" w:themeColor="text1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3250C9"/>
    <w:pPr>
      <w:widowControl w:val="0"/>
      <w:autoSpaceDE w:val="0"/>
      <w:autoSpaceDN w:val="0"/>
      <w:spacing w:after="0" w:line="240" w:lineRule="auto"/>
      <w:ind w:left="107"/>
    </w:pPr>
    <w:rPr>
      <w:rFonts w:ascii="Arial Narrow" w:eastAsia="Arial Narrow" w:hAnsi="Arial Narrow" w:cs="Arial Narrow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250C9"/>
    <w:pPr>
      <w:spacing w:after="0" w:line="240" w:lineRule="auto"/>
    </w:pPr>
    <w:rPr>
      <w:rFonts w:ascii="Arial Narrow" w:eastAsiaTheme="minorEastAsia" w:hAnsi="Arial Narrow"/>
      <w:color w:val="000000" w:themeColor="text1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250C9"/>
    <w:rPr>
      <w:rFonts w:ascii="Arial Narrow" w:eastAsiaTheme="minorEastAsia" w:hAnsi="Arial Narrow"/>
      <w:color w:val="000000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250C9"/>
    <w:rPr>
      <w:vertAlign w:val="superscript"/>
    </w:rPr>
  </w:style>
  <w:style w:type="paragraph" w:customStyle="1" w:styleId="NoParagraphStyle">
    <w:name w:val="[No Paragraph Style]"/>
    <w:rsid w:val="003250C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paragraph" w:customStyle="1" w:styleId="BasicParagraph">
    <w:name w:val="[Basic Paragraph]"/>
    <w:basedOn w:val="NoParagraphStyle"/>
    <w:uiPriority w:val="99"/>
    <w:rsid w:val="003250C9"/>
  </w:style>
  <w:style w:type="paragraph" w:customStyle="1" w:styleId="Default">
    <w:name w:val="Default"/>
    <w:rsid w:val="003250C9"/>
    <w:pPr>
      <w:autoSpaceDE w:val="0"/>
      <w:autoSpaceDN w:val="0"/>
      <w:adjustRightInd w:val="0"/>
      <w:spacing w:after="0" w:line="240" w:lineRule="auto"/>
    </w:pPr>
    <w:rPr>
      <w:rFonts w:ascii="Source Sans Pro" w:hAnsi="Source Sans Pro" w:cs="Source Sans Pro"/>
      <w:color w:val="000000"/>
      <w:sz w:val="24"/>
      <w:szCs w:val="24"/>
      <w:lang w:val="en-US"/>
    </w:rPr>
  </w:style>
  <w:style w:type="character" w:customStyle="1" w:styleId="A4">
    <w:name w:val="A4"/>
    <w:uiPriority w:val="99"/>
    <w:rsid w:val="003250C9"/>
    <w:rPr>
      <w:rFonts w:cs="Source Sans Pro"/>
      <w:color w:val="211D1E"/>
      <w:sz w:val="11"/>
      <w:szCs w:val="11"/>
    </w:rPr>
  </w:style>
  <w:style w:type="paragraph" w:styleId="Revision">
    <w:name w:val="Revision"/>
    <w:hidden/>
    <w:uiPriority w:val="99"/>
    <w:semiHidden/>
    <w:rsid w:val="00866ADE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5108043\Downloads\Form1%20(1).dotx" TargetMode="External"/></Relationships>
</file>

<file path=word/theme/theme1.xml><?xml version="1.0" encoding="utf-8"?>
<a:theme xmlns:a="http://schemas.openxmlformats.org/drawingml/2006/main" name="Victoria University">
  <a:themeElements>
    <a:clrScheme name="VU 2024">
      <a:dk1>
        <a:srgbClr val="000000"/>
      </a:dk1>
      <a:lt1>
        <a:srgbClr val="FFFFFF"/>
      </a:lt1>
      <a:dk2>
        <a:srgbClr val="262626"/>
      </a:dk2>
      <a:lt2>
        <a:srgbClr val="FFFFFF"/>
      </a:lt2>
      <a:accent1>
        <a:srgbClr val="5BC2E7"/>
      </a:accent1>
      <a:accent2>
        <a:srgbClr val="1E1248"/>
      </a:accent2>
      <a:accent3>
        <a:srgbClr val="ED6B5E"/>
      </a:accent3>
      <a:accent4>
        <a:srgbClr val="B39AD2"/>
      </a:accent4>
      <a:accent5>
        <a:srgbClr val="EEEEEE"/>
      </a:accent5>
      <a:accent6>
        <a:srgbClr val="6E6E6E"/>
      </a:accent6>
      <a:hlink>
        <a:srgbClr val="0C71AC"/>
      </a:hlink>
      <a:folHlink>
        <a:srgbClr val="6E6E6E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heme1" id="{E9B862AF-A322-4130-9E6F-D013EA9BC35F}" vid="{555E807B-912E-47BA-8D5E-FBBB96F0E79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2019-11-27T00:00:00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531b79-ff8e-4147-a650-b4470bfabc2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D545BF65C7B64580D9BE3A7BB2DA26" ma:contentTypeVersion="12" ma:contentTypeDescription="Create a new document." ma:contentTypeScope="" ma:versionID="a687f00f26e26c1b9ee1d5619c0f3a51">
  <xsd:schema xmlns:xsd="http://www.w3.org/2001/XMLSchema" xmlns:xs="http://www.w3.org/2001/XMLSchema" xmlns:p="http://schemas.microsoft.com/office/2006/metadata/properties" xmlns:ns2="dfea21ae-a1f0-4cda-8ca1-623adea04c06" xmlns:ns3="14531b79-ff8e-4147-a650-b4470bfabc2c" targetNamespace="http://schemas.microsoft.com/office/2006/metadata/properties" ma:root="true" ma:fieldsID="dfddb3002d961837fc93453c5e9c8fdb" ns2:_="" ns3:_="">
    <xsd:import namespace="dfea21ae-a1f0-4cda-8ca1-623adea04c06"/>
    <xsd:import namespace="14531b79-ff8e-4147-a650-b4470bfabc2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ea21ae-a1f0-4cda-8ca1-623adea04c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31b79-ff8e-4147-a650-b4470bfabc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c4592ee-81f3-4bc9-aa87-1973807e8e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5D27738-6E7F-487B-A80A-E342B7F4132A}">
  <ds:schemaRefs>
    <ds:schemaRef ds:uri="http://schemas.microsoft.com/office/2006/metadata/properties"/>
    <ds:schemaRef ds:uri="http://schemas.microsoft.com/office/infopath/2007/PartnerControls"/>
    <ds:schemaRef ds:uri="14531b79-ff8e-4147-a650-b4470bfabc2c"/>
  </ds:schemaRefs>
</ds:datastoreItem>
</file>

<file path=customXml/itemProps3.xml><?xml version="1.0" encoding="utf-8"?>
<ds:datastoreItem xmlns:ds="http://schemas.openxmlformats.org/officeDocument/2006/customXml" ds:itemID="{E1F12437-E503-4443-B4F5-A2132AA1DF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0F198D-D418-CE41-AD34-F00536D9233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4B0E14B-2C45-4809-94D5-D4918E0AB5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a21ae-a1f0-4cda-8ca1-623adea04c06"/>
    <ds:schemaRef ds:uri="14531b79-ff8e-4147-a650-b4470bfabc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Form1 (1).dotx</Template>
  <TotalTime>3</TotalTime>
  <Pages>5</Pages>
  <Words>1588</Words>
  <Characters>9054</Characters>
  <Application>Microsoft Office Word</Application>
  <DocSecurity>0</DocSecurity>
  <Lines>75</Lines>
  <Paragraphs>21</Paragraphs>
  <ScaleCrop>false</ScaleCrop>
  <Company>Victoria University</Company>
  <LinksUpToDate>false</LinksUpToDate>
  <CharactersWithSpaces>10621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Title</dc:title>
  <dc:subject>Report</dc:subject>
  <dc:creator>Kelly Wilson</dc:creator>
  <cp:keywords/>
  <dc:description/>
  <cp:lastModifiedBy>Penelope Steer-Cope</cp:lastModifiedBy>
  <cp:revision>6</cp:revision>
  <cp:lastPrinted>2020-03-03T11:30:00Z</cp:lastPrinted>
  <dcterms:created xsi:type="dcterms:W3CDTF">2024-10-22T05:38:00Z</dcterms:created>
  <dcterms:modified xsi:type="dcterms:W3CDTF">2024-10-22T05:41:00Z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0x010100E5D545BF65C7B64580D9BE3A7BB2DA26</vt:lpwstr>
  </property>
  <property fmtid="{D5CDD505-2E9C-101B-9397-08002B2CF9AE}" pid="3" name="MSIP_Label_d7dc88d9-fa17-47eb-a208-3e66f59d50e5_Enabled">
    <vt:lpwstr>true</vt:lpwstr>
  </property>
  <property fmtid="{D5CDD505-2E9C-101B-9397-08002B2CF9AE}" pid="4" name="MSIP_Label_d7dc88d9-fa17-47eb-a208-3e66f59d50e5_SetDate">
    <vt:lpwstr>2021-04-09T04:35:40Z</vt:lpwstr>
  </property>
  <property fmtid="{D5CDD505-2E9C-101B-9397-08002B2CF9AE}" pid="5" name="MSIP_Label_d7dc88d9-fa17-47eb-a208-3e66f59d50e5_Method">
    <vt:lpwstr>Privileged</vt:lpwstr>
  </property>
  <property fmtid="{D5CDD505-2E9C-101B-9397-08002B2CF9AE}" pid="6" name="MSIP_Label_d7dc88d9-fa17-47eb-a208-3e66f59d50e5_Name">
    <vt:lpwstr>Internal</vt:lpwstr>
  </property>
  <property fmtid="{D5CDD505-2E9C-101B-9397-08002B2CF9AE}" pid="7" name="MSIP_Label_d7dc88d9-fa17-47eb-a208-3e66f59d50e5_SiteId">
    <vt:lpwstr>d51ba343-9258-4ea6-9907-426d8c84ec12</vt:lpwstr>
  </property>
  <property fmtid="{D5CDD505-2E9C-101B-9397-08002B2CF9AE}" pid="8" name="MSIP_Label_d7dc88d9-fa17-47eb-a208-3e66f59d50e5_ActionId">
    <vt:lpwstr>befa014b-e2df-439a-b364-84761b5e4279</vt:lpwstr>
  </property>
  <property fmtid="{D5CDD505-2E9C-101B-9397-08002B2CF9AE}" pid="9" name="MSIP_Label_d7dc88d9-fa17-47eb-a208-3e66f59d50e5_ContentBits">
    <vt:lpwstr>0</vt:lpwstr>
  </property>
  <property fmtid="{D5CDD505-2E9C-101B-9397-08002B2CF9AE}" pid="10" name="_dlc_DocIdItemGuid">
    <vt:lpwstr>bb64d715-4b35-4dea-b416-d0da7af64757</vt:lpwstr>
  </property>
  <property fmtid="{D5CDD505-2E9C-101B-9397-08002B2CF9AE}" pid="11" name="MediaServiceImageTags">
    <vt:lpwstr/>
  </property>
</Properties>
</file>