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3140" w14:textId="77777777" w:rsidR="001325D1" w:rsidRPr="00115B71" w:rsidRDefault="001325D1" w:rsidP="00144850">
      <w:pPr>
        <w:pStyle w:val="Heading4"/>
        <w:jc w:val="both"/>
        <w:rPr>
          <w:iCs w:val="0"/>
          <w:color w:val="5BC2E7" w:themeColor="accent1"/>
          <w:szCs w:val="20"/>
        </w:rPr>
      </w:pPr>
    </w:p>
    <w:p w14:paraId="0BC2D6CB" w14:textId="7C2E6CED" w:rsidR="001325D1" w:rsidRDefault="001325D1" w:rsidP="00115B71">
      <w:pPr>
        <w:pStyle w:val="Heading4"/>
        <w:spacing w:before="0" w:after="0"/>
        <w:rPr>
          <w:iCs w:val="0"/>
          <w:color w:val="5BC2E7" w:themeColor="accent1"/>
          <w:sz w:val="48"/>
          <w:szCs w:val="32"/>
        </w:rPr>
      </w:pPr>
      <w:r w:rsidRPr="00F62810">
        <w:rPr>
          <w:iCs w:val="0"/>
          <w:color w:val="5BC2E7" w:themeColor="accent1"/>
          <w:sz w:val="48"/>
          <w:szCs w:val="32"/>
        </w:rPr>
        <w:t>Require</w:t>
      </w:r>
      <w:r w:rsidRPr="00115B71">
        <w:rPr>
          <w:iCs w:val="0"/>
          <w:color w:val="5BC2E7"/>
          <w:sz w:val="48"/>
          <w:szCs w:val="32"/>
        </w:rPr>
        <w:t>m</w:t>
      </w:r>
      <w:r w:rsidRPr="00F62810">
        <w:rPr>
          <w:iCs w:val="0"/>
          <w:color w:val="5BC2E7" w:themeColor="accent1"/>
          <w:sz w:val="48"/>
          <w:szCs w:val="32"/>
        </w:rPr>
        <w:t xml:space="preserve">ents for </w:t>
      </w:r>
      <w:r w:rsidR="00374FFE">
        <w:rPr>
          <w:iCs w:val="0"/>
          <w:color w:val="5BC2E7" w:themeColor="accent1"/>
          <w:sz w:val="48"/>
          <w:szCs w:val="32"/>
        </w:rPr>
        <w:t>Biocontainment Facilit</w:t>
      </w:r>
      <w:r w:rsidR="00702512">
        <w:rPr>
          <w:iCs w:val="0"/>
          <w:color w:val="5BC2E7" w:themeColor="accent1"/>
          <w:sz w:val="48"/>
          <w:szCs w:val="32"/>
        </w:rPr>
        <w:t>ies</w:t>
      </w:r>
      <w:r w:rsidRPr="00F62810">
        <w:rPr>
          <w:iCs w:val="0"/>
          <w:color w:val="5BC2E7" w:themeColor="accent1"/>
          <w:sz w:val="48"/>
          <w:szCs w:val="32"/>
        </w:rPr>
        <w:t xml:space="preserve"> </w:t>
      </w:r>
    </w:p>
    <w:p w14:paraId="39D7600F" w14:textId="77777777" w:rsidR="003250C9" w:rsidRPr="00F62810" w:rsidRDefault="003250C9" w:rsidP="00144850">
      <w:pPr>
        <w:pStyle w:val="BodyText"/>
        <w:spacing w:before="0" w:after="0" w:line="276" w:lineRule="auto"/>
        <w:jc w:val="both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65"/>
      </w:tblGrid>
      <w:tr w:rsidR="004423A3" w:rsidRPr="00F62810" w14:paraId="368F9CB9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F2F2F2" w:themeFill="background2" w:themeFillShade="F2"/>
            <w:vAlign w:val="center"/>
          </w:tcPr>
          <w:p w14:paraId="50B7B4A5" w14:textId="49255BEF" w:rsidR="001325D1" w:rsidRPr="00115B71" w:rsidRDefault="001325D1" w:rsidP="00144850">
            <w:pPr>
              <w:pStyle w:val="Heading4"/>
              <w:jc w:val="center"/>
              <w:rPr>
                <w:color w:val="auto"/>
              </w:rPr>
            </w:pPr>
            <w:r w:rsidRPr="00115B71">
              <w:rPr>
                <w:color w:val="auto"/>
              </w:rPr>
              <w:t xml:space="preserve">GENERAL </w:t>
            </w:r>
            <w:r w:rsidR="00702512">
              <w:rPr>
                <w:color w:val="auto"/>
              </w:rPr>
              <w:t>FACILITY</w:t>
            </w:r>
            <w:r w:rsidR="00702512" w:rsidRPr="00115B71">
              <w:rPr>
                <w:color w:val="auto"/>
              </w:rPr>
              <w:t xml:space="preserve"> </w:t>
            </w:r>
            <w:r w:rsidRPr="00115B71">
              <w:rPr>
                <w:color w:val="auto"/>
              </w:rPr>
              <w:t>REQUIREMENTS</w:t>
            </w:r>
          </w:p>
          <w:p w14:paraId="329A100F" w14:textId="41FEBB48" w:rsidR="001325D1" w:rsidRPr="00115B71" w:rsidRDefault="001325D1" w:rsidP="00144850">
            <w:pPr>
              <w:pStyle w:val="Heading4"/>
              <w:jc w:val="center"/>
              <w:rPr>
                <w:color w:val="auto"/>
              </w:rPr>
            </w:pPr>
            <w:r w:rsidRPr="00115B71">
              <w:rPr>
                <w:color w:val="auto"/>
              </w:rPr>
              <w:t>Requirements 1 - 2</w:t>
            </w:r>
            <w:r w:rsidR="00A67314">
              <w:rPr>
                <w:color w:val="auto"/>
              </w:rPr>
              <w:t>4</w:t>
            </w:r>
            <w:r w:rsidRPr="00115B71">
              <w:rPr>
                <w:color w:val="auto"/>
              </w:rPr>
              <w:t xml:space="preserve"> apply</w:t>
            </w:r>
          </w:p>
          <w:p w14:paraId="168CE73C" w14:textId="33215C8C" w:rsidR="00144850" w:rsidRPr="00F62810" w:rsidRDefault="00D24274" w:rsidP="00115B71">
            <w:pPr>
              <w:pStyle w:val="TableParagraph"/>
              <w:spacing w:before="120" w:after="120" w:line="264" w:lineRule="auto"/>
              <w:ind w:left="0"/>
              <w:jc w:val="both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General </w:t>
            </w:r>
            <w:r w:rsidR="0070251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Facility</w:t>
            </w:r>
            <w:r w:rsidR="00702512"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Requirements focus on maintaining a safe and controlled environment for handling low-risk chemicals and biological agents. These guidelines ensure proper waste management, personal protection, and facility hygiene. Common agents in general </w:t>
            </w:r>
            <w:r w:rsidR="0070251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lab</w:t>
            </w:r>
            <w:r w:rsidR="00254FA5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o</w:t>
            </w:r>
            <w:r w:rsidR="00103FA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ratory</w:t>
            </w:r>
            <w:r w:rsidR="0070251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facilities</w:t>
            </w:r>
            <w:r w:rsidR="00702512"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include non-hazardous chemicals, non-pathogenic microorganisms, and environmental samples used for basic research or teaching purposes.</w:t>
            </w:r>
          </w:p>
        </w:tc>
      </w:tr>
      <w:tr w:rsidR="004423A3" w:rsidRPr="00F62810" w14:paraId="3ED6692E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BFBFBF" w:themeFill="background2" w:themeFillShade="BF"/>
          </w:tcPr>
          <w:p w14:paraId="3E7C3A53" w14:textId="77BC49BA" w:rsidR="003250C9" w:rsidRPr="00F62810" w:rsidRDefault="001325D1" w:rsidP="00144850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Structural Requirements</w:t>
            </w:r>
          </w:p>
        </w:tc>
      </w:tr>
      <w:tr w:rsidR="001325D1" w:rsidRPr="00F62810" w14:paraId="56F81A0F" w14:textId="77777777" w:rsidTr="7731A6EF">
        <w:trPr>
          <w:trHeight w:val="466"/>
        </w:trPr>
        <w:tc>
          <w:tcPr>
            <w:tcW w:w="10065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428DDA2F" w14:textId="21E844BF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The </w:t>
            </w:r>
            <w:r w:rsidR="0070251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="00702512"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must be a fully enclosable space (bounded by walls, floors, ceilings, windows, and doors).</w:t>
            </w:r>
          </w:p>
        </w:tc>
      </w:tr>
      <w:tr w:rsidR="001325D1" w:rsidRPr="00F62810" w14:paraId="09ACAC03" w14:textId="77777777" w:rsidTr="7731A6EF">
        <w:trPr>
          <w:trHeight w:val="466"/>
        </w:trPr>
        <w:tc>
          <w:tcPr>
            <w:tcW w:w="10065" w:type="dxa"/>
            <w:tcBorders>
              <w:left w:val="nil"/>
              <w:right w:val="nil"/>
            </w:tcBorders>
          </w:tcPr>
          <w:p w14:paraId="070C9B40" w14:textId="204A47F0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Floors must be smooth, impermeable, resistant to chemicals used in the laboratory, slip-resistant, and easy to clean.</w:t>
            </w:r>
          </w:p>
        </w:tc>
      </w:tr>
      <w:tr w:rsidR="001325D1" w:rsidRPr="00F62810" w14:paraId="4ABA7F3C" w14:textId="77777777" w:rsidTr="7731A6EF">
        <w:trPr>
          <w:trHeight w:val="466"/>
        </w:trPr>
        <w:tc>
          <w:tcPr>
            <w:tcW w:w="10065" w:type="dxa"/>
            <w:tcBorders>
              <w:left w:val="nil"/>
              <w:right w:val="nil"/>
            </w:tcBorders>
          </w:tcPr>
          <w:p w14:paraId="404FA6B0" w14:textId="621CC647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All surfaces, including benches, walls, shelving, and furniture, must be cleanable, easily decontaminated, and resistant to the cleaning agents or disinfectants used in the facility.</w:t>
            </w:r>
          </w:p>
        </w:tc>
      </w:tr>
      <w:tr w:rsidR="001325D1" w:rsidRPr="00F62810" w14:paraId="4DA4EB95" w14:textId="77777777" w:rsidTr="7731A6EF">
        <w:trPr>
          <w:trHeight w:val="466"/>
        </w:trPr>
        <w:tc>
          <w:tcPr>
            <w:tcW w:w="1006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FAFFDB5" w14:textId="5FC65192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The facility shall be designed to prevent infestation by vermin</w:t>
            </w:r>
            <w:r w:rsidR="005E698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325D1" w:rsidRPr="00F62810" w14:paraId="031CBC9B" w14:textId="77777777" w:rsidTr="7731A6EF">
        <w:trPr>
          <w:trHeight w:val="466"/>
        </w:trPr>
        <w:tc>
          <w:tcPr>
            <w:tcW w:w="1006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2B8B5A2" w14:textId="4212D4F0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Furniture shall be ergonomically suitable and appropriate for the specific purpose.</w:t>
            </w:r>
          </w:p>
        </w:tc>
      </w:tr>
      <w:tr w:rsidR="001325D1" w:rsidRPr="00F62810" w14:paraId="69D621FE" w14:textId="77777777" w:rsidTr="7731A6EF">
        <w:trPr>
          <w:trHeight w:val="466"/>
        </w:trPr>
        <w:tc>
          <w:tcPr>
            <w:tcW w:w="1006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809C4F8" w14:textId="66A21DB7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 safety shower must be accessible within 10 meters of any point in the </w:t>
            </w:r>
            <w:r w:rsidR="0070251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325D1" w:rsidRPr="00F62810" w14:paraId="296F73BB" w14:textId="77777777" w:rsidTr="7731A6EF">
        <w:trPr>
          <w:trHeight w:val="466"/>
        </w:trPr>
        <w:tc>
          <w:tcPr>
            <w:tcW w:w="1006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C72568E" w14:textId="506B07AB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An eyewash station must be fitted, or single-use fresh eye irrigation fluids made available.</w:t>
            </w:r>
          </w:p>
        </w:tc>
      </w:tr>
      <w:tr w:rsidR="001325D1" w:rsidRPr="00F62810" w14:paraId="688727AD" w14:textId="77777777" w:rsidTr="7731A6EF">
        <w:trPr>
          <w:trHeight w:val="466"/>
        </w:trPr>
        <w:tc>
          <w:tcPr>
            <w:tcW w:w="1006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7970AD4" w14:textId="0EEAC7D4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The facility must contain a dedicated wash basin or some other means of decontaminating hands (e.g., waterless disinfectant).</w:t>
            </w:r>
          </w:p>
        </w:tc>
      </w:tr>
      <w:tr w:rsidR="001325D1" w:rsidRPr="00F62810" w14:paraId="6FD453BF" w14:textId="77777777" w:rsidTr="7731A6EF">
        <w:trPr>
          <w:trHeight w:val="466"/>
        </w:trPr>
        <w:tc>
          <w:tcPr>
            <w:tcW w:w="1006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0E22C90" w14:textId="1821ECE8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The floor under benches must be easily accessible for cleaning.</w:t>
            </w:r>
          </w:p>
        </w:tc>
      </w:tr>
      <w:tr w:rsidR="003944ED" w:rsidRPr="00F62810" w14:paraId="68D17ACD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BFBFBF" w:themeFill="background2" w:themeFillShade="BF"/>
            <w:vAlign w:val="center"/>
          </w:tcPr>
          <w:p w14:paraId="0C20FE89" w14:textId="675646B4" w:rsidR="003250C9" w:rsidRPr="00F62810" w:rsidRDefault="001325D1" w:rsidP="00D24274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Procedural Requirements</w:t>
            </w:r>
          </w:p>
        </w:tc>
      </w:tr>
      <w:tr w:rsidR="001325D1" w:rsidRPr="00F62810" w14:paraId="47B82631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3B6D28B" w14:textId="772128AD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Cardboard boxes must not be stored directly on the floor.</w:t>
            </w:r>
          </w:p>
        </w:tc>
      </w:tr>
      <w:tr w:rsidR="0F36DD47" w14:paraId="0A09DF6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1D8A1CE" w14:textId="6555C1F5" w:rsidR="2C9A1BBB" w:rsidRDefault="2C9A1BBB" w:rsidP="00B61ED6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PPE worn and used in the facility shall comply with </w:t>
            </w:r>
            <w:r w:rsidRPr="0F36DD47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val="en-AU" w:eastAsia="en-AU"/>
              </w:rPr>
              <w:t>AS/NZS 2243.3:2022</w:t>
            </w: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.</w:t>
            </w:r>
          </w:p>
          <w:p w14:paraId="07DDE411" w14:textId="56FD26FB" w:rsidR="0F36DD47" w:rsidRDefault="0F36DD47" w:rsidP="00A67314">
            <w:pPr>
              <w:pStyle w:val="TableParagraph"/>
              <w:ind w:left="360"/>
              <w:jc w:val="both"/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</w:pPr>
          </w:p>
        </w:tc>
      </w:tr>
      <w:tr w:rsidR="001325D1" w:rsidRPr="00F62810" w14:paraId="742B00A2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12D5BE3" w14:textId="78B84836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Bidi"/>
                <w:color w:val="000000"/>
                <w:sz w:val="20"/>
                <w:szCs w:val="20"/>
                <w:lang w:val="en-AU"/>
              </w:rPr>
            </w:pP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Personnel must </w:t>
            </w:r>
            <w:r w:rsidR="008A2433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remove their </w:t>
            </w:r>
            <w:r w:rsidR="00E4679A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PPE</w:t>
            </w:r>
            <w:r w:rsidR="008A2433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 and </w:t>
            </w: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decontaminate their hands before leaving the facility.</w:t>
            </w:r>
          </w:p>
        </w:tc>
      </w:tr>
      <w:tr w:rsidR="0F36DD47" w14:paraId="3DCBB495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9C4B2F9" w14:textId="1A987BAB" w:rsidR="73396795" w:rsidRDefault="73396795" w:rsidP="00B61ED6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Used PPE must be kept segregated from unused and </w:t>
            </w:r>
            <w:r w:rsidR="45C3D245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decontaminated</w:t>
            </w:r>
            <w:r w:rsidR="1332DBAF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 PPE.</w:t>
            </w:r>
          </w:p>
        </w:tc>
      </w:tr>
      <w:tr w:rsidR="001325D1" w:rsidRPr="00F62810" w14:paraId="24E4EC33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2E70CDA" w14:textId="54E34A71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Chemicals, including gases and gas cylinders, must be stored in accordance with the requirements of the University OHS Unit and </w:t>
            </w:r>
            <w:r w:rsidR="00D24274" w:rsidRPr="00F62810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relevant Australian Standards.</w:t>
            </w:r>
          </w:p>
        </w:tc>
      </w:tr>
      <w:tr w:rsidR="001325D1" w:rsidRPr="00F62810" w14:paraId="304A572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95F83A7" w14:textId="2F10068C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Wastes (solid and liquid) must be properly labelled and safely stored temporarily until they are removed for disposal.</w:t>
            </w:r>
          </w:p>
        </w:tc>
      </w:tr>
      <w:tr w:rsidR="001325D1" w:rsidRPr="00F62810" w14:paraId="7C5DC98A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7B2AB2D" w14:textId="6FC77647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Bidi"/>
                <w:color w:val="000000"/>
                <w:sz w:val="20"/>
                <w:szCs w:val="20"/>
                <w:lang w:val="en-AU"/>
              </w:rPr>
            </w:pP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Food and drink must not be stored in the </w:t>
            </w:r>
            <w:r w:rsidR="00254FA5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facility</w:t>
            </w: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.</w:t>
            </w:r>
          </w:p>
        </w:tc>
      </w:tr>
      <w:tr w:rsidR="001325D1" w:rsidRPr="00F62810" w14:paraId="5FBAF116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1DB28D9" w14:textId="194ED333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</w:pP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lastRenderedPageBreak/>
              <w:t xml:space="preserve">No eating, drinking, shaving, or application of cosmetics </w:t>
            </w:r>
            <w:r w:rsidR="14C964D6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 xml:space="preserve">including the handling of contact lenses </w:t>
            </w: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 xml:space="preserve">is permitted in the </w:t>
            </w:r>
            <w:r w:rsidR="00254FA5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>facility</w:t>
            </w: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>.</w:t>
            </w:r>
            <w:r w:rsidR="2A98BA5C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 xml:space="preserve">  (This includes the chewing of gum and </w:t>
            </w:r>
            <w:r w:rsidR="6D34F4EE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>inserting</w:t>
            </w:r>
            <w:r w:rsidR="2A98BA5C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 xml:space="preserve"> items</w:t>
            </w:r>
            <w:r w:rsidR="0073074D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>,</w:t>
            </w:r>
            <w:r w:rsidR="2A98BA5C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 xml:space="preserve"> such as fingers and pens</w:t>
            </w:r>
            <w:r w:rsidR="0073074D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>,</w:t>
            </w:r>
            <w:r w:rsidR="2A98BA5C" w:rsidRPr="0F36DD47">
              <w:rPr>
                <w:rFonts w:asciiTheme="minorHAnsi" w:eastAsia="Times New Roman" w:hAnsiTheme="minorHAnsi" w:cstheme="minorBidi"/>
                <w:sz w:val="20"/>
                <w:szCs w:val="20"/>
                <w:lang w:eastAsia="en-AU"/>
              </w:rPr>
              <w:t xml:space="preserve"> in the mouth).</w:t>
            </w:r>
          </w:p>
        </w:tc>
      </w:tr>
      <w:tr w:rsidR="001325D1" w:rsidRPr="00F62810" w14:paraId="333DA925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27024B9" w14:textId="1C78755A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Documented identification of work hazards, risk assessments, and control measures must be in place.</w:t>
            </w:r>
          </w:p>
        </w:tc>
      </w:tr>
      <w:tr w:rsidR="001325D1" w:rsidRPr="00F62810" w14:paraId="1C1FA48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338263D" w14:textId="43FF25D9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Training records against relevant Standard Operating Procedures (SOPs) must be maintained for all personnel authori</w:t>
            </w:r>
            <w:r w:rsidR="00E543B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ed to work in the </w:t>
            </w:r>
            <w:r w:rsidR="00E543B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325D1" w:rsidRPr="00F62810" w14:paraId="4FD8A947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29C438F" w14:textId="4C09C613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Mouth pipetting is strictly prohibited.</w:t>
            </w:r>
          </w:p>
        </w:tc>
      </w:tr>
      <w:tr w:rsidR="001325D1" w:rsidRPr="00F62810" w14:paraId="47B001EF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D5C442B" w14:textId="2E00AC6E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Always use a fume cupboard appropriate to the risk assessment of any work with toxic, volatile, corrosive, or </w:t>
            </w:r>
            <w:proofErr w:type="spellStart"/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odiferous</w:t>
            </w:r>
            <w:proofErr w:type="spellEnd"/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substances.</w:t>
            </w:r>
          </w:p>
        </w:tc>
      </w:tr>
      <w:tr w:rsidR="001325D1" w:rsidRPr="00F62810" w14:paraId="3F49BF99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BBE4EA" w14:textId="1A3B00F3" w:rsidR="001325D1" w:rsidRPr="00F62810" w:rsidRDefault="001325D1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All microbiological waste shall be disposed of in accordance with </w:t>
            </w: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AS/NZS 2243.3:2022</w:t>
            </w:r>
            <w:r w:rsid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F36DD47" w14:paraId="669E0FF0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D64C81E" w14:textId="625403FA" w:rsidR="245D084C" w:rsidRDefault="245D084C" w:rsidP="00B61ED6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Personal devices shall not be used in locations where they could become contaminated.  This includes </w:t>
            </w:r>
            <w:r w:rsidR="00755B54"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mobile phones</w:t>
            </w:r>
            <w:r w:rsidR="00755B54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,</w:t>
            </w:r>
            <w:r w:rsidR="00755B54"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 </w:t>
            </w: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personal </w:t>
            </w:r>
            <w:proofErr w:type="gramStart"/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earphones</w:t>
            </w:r>
            <w:proofErr w:type="gramEnd"/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 and earplugs.</w:t>
            </w:r>
          </w:p>
        </w:tc>
      </w:tr>
      <w:tr w:rsidR="0F36DD47" w14:paraId="77CB233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40980F3" w14:textId="5797ADBC" w:rsidR="6DC86B4F" w:rsidRDefault="6DC86B4F" w:rsidP="00B61ED6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0F36DD47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Where contamination of personal devices occurs or is suspected, decontaminated shall take place prior to removal of the device from the laboratory.</w:t>
            </w:r>
          </w:p>
        </w:tc>
      </w:tr>
      <w:tr w:rsidR="00144850" w:rsidRPr="00F62810" w14:paraId="0E200B5B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F2F2F2" w:themeFill="background2" w:themeFillShade="F2"/>
            <w:vAlign w:val="center"/>
          </w:tcPr>
          <w:p w14:paraId="6F2F3A58" w14:textId="77777777" w:rsidR="00144850" w:rsidRPr="00115B71" w:rsidRDefault="00144850" w:rsidP="00144850">
            <w:pPr>
              <w:pStyle w:val="Heading4"/>
              <w:jc w:val="center"/>
              <w:rPr>
                <w:color w:val="auto"/>
              </w:rPr>
            </w:pPr>
            <w:r w:rsidRPr="00115B71">
              <w:rPr>
                <w:color w:val="auto"/>
              </w:rPr>
              <w:t>PHYSICAL CONTAINMENT LEVEL 1 (PC1) REQUIREMENTS</w:t>
            </w:r>
          </w:p>
          <w:p w14:paraId="65BD04F3" w14:textId="78FB322D" w:rsidR="00144850" w:rsidRPr="00115B71" w:rsidRDefault="00144850" w:rsidP="00144850">
            <w:pPr>
              <w:pStyle w:val="Heading4"/>
              <w:jc w:val="center"/>
              <w:rPr>
                <w:color w:val="auto"/>
              </w:rPr>
            </w:pPr>
            <w:r w:rsidRPr="00115B71">
              <w:rPr>
                <w:color w:val="auto"/>
              </w:rPr>
              <w:t xml:space="preserve">Requirements 1 - </w:t>
            </w:r>
            <w:r w:rsidR="00664406" w:rsidRPr="00115B71">
              <w:rPr>
                <w:color w:val="auto"/>
              </w:rPr>
              <w:t>4</w:t>
            </w:r>
            <w:r w:rsidR="00A67314">
              <w:rPr>
                <w:color w:val="auto"/>
              </w:rPr>
              <w:t>6</w:t>
            </w:r>
            <w:r w:rsidRPr="00115B71">
              <w:rPr>
                <w:color w:val="auto"/>
              </w:rPr>
              <w:t xml:space="preserve"> apply</w:t>
            </w:r>
          </w:p>
          <w:p w14:paraId="46348574" w14:textId="13070055" w:rsidR="00144850" w:rsidRDefault="00D24274" w:rsidP="007C7CBE">
            <w:pPr>
              <w:pStyle w:val="TableParagraph"/>
              <w:spacing w:before="120" w:after="120" w:line="264" w:lineRule="auto"/>
              <w:ind w:left="0"/>
              <w:jc w:val="both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PC1 Requirements provide protocols for handling low-risk biological agents</w:t>
            </w:r>
            <w:r w:rsidR="00F460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(Risk-Group 1)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that pose minimal threat to human health or the environment. These guidelines emphasi</w:t>
            </w:r>
            <w:r w:rsidR="00A2084B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s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e access control, proper waste segregation, and regular decontamination of surfaces. Typical agents include non-infectious strains of </w:t>
            </w:r>
            <w:r w:rsidRPr="00F62810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E. coli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and fungi, which are used for teaching and research in educational or general laboratory settings.</w:t>
            </w:r>
          </w:p>
          <w:p w14:paraId="7E9DFDD7" w14:textId="075530DE" w:rsidR="00611DF0" w:rsidRPr="00F62810" w:rsidRDefault="00611DF0" w:rsidP="00115B71">
            <w:pPr>
              <w:pStyle w:val="TableParagraph"/>
              <w:spacing w:before="120" w:after="120" w:line="264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115B7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NB: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Points 2</w:t>
            </w:r>
            <w:r w:rsidR="00A6731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9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="00A6731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30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, 4</w:t>
            </w:r>
            <w:r w:rsidR="00A6731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5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and 4</w:t>
            </w:r>
            <w:r w:rsidR="00A67314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6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only apply to the relevant facility types.</w:t>
            </w:r>
          </w:p>
        </w:tc>
      </w:tr>
      <w:tr w:rsidR="00144850" w:rsidRPr="00F62810" w14:paraId="6FDCE97F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BFBFBF" w:themeFill="background2" w:themeFillShade="BF"/>
          </w:tcPr>
          <w:p w14:paraId="24BC88E8" w14:textId="1F73C0CF" w:rsidR="00144850" w:rsidRPr="00F62810" w:rsidRDefault="00144850" w:rsidP="00144850">
            <w:pPr>
              <w:pStyle w:val="TableParagraph"/>
              <w:ind w:left="0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Structural Requirements</w:t>
            </w:r>
          </w:p>
        </w:tc>
      </w:tr>
      <w:tr w:rsidR="00144850" w:rsidRPr="00F62810" w14:paraId="540594AD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E606B69" w14:textId="563A9BEF" w:rsidR="00144850" w:rsidRPr="00F62810" w:rsidRDefault="00144850" w:rsidP="3E847DA6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Bidi"/>
                <w:color w:val="000000"/>
                <w:sz w:val="20"/>
                <w:szCs w:val="20"/>
                <w:lang w:val="en-AU"/>
              </w:rPr>
            </w:pPr>
            <w:r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Each access door to the facility must display a </w:t>
            </w:r>
            <w:r w:rsidRPr="3E847DA6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val="en-AU" w:eastAsia="en-AU"/>
              </w:rPr>
              <w:t>PC1 sign</w:t>
            </w:r>
            <w:r w:rsidR="00EE128B"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, </w:t>
            </w:r>
            <w:r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as issued by the </w:t>
            </w:r>
            <w:r w:rsidR="006E676A"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Institutional Biosafety Committee (IBC) via the </w:t>
            </w:r>
            <w:r w:rsidR="00842050"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Research Services </w:t>
            </w:r>
            <w:r w:rsidR="00473D72"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O</w:t>
            </w:r>
            <w:r w:rsidR="00842050"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ffice</w:t>
            </w:r>
            <w:r w:rsidRPr="3E847DA6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.</w:t>
            </w:r>
          </w:p>
        </w:tc>
      </w:tr>
      <w:tr w:rsidR="00144850" w:rsidRPr="00F62810" w14:paraId="716BC003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78413F" w14:textId="5670D32A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Hooks for lab</w:t>
            </w:r>
            <w:r w:rsidR="00CD0CDF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oratory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gowns/coats shall be provided in the </w:t>
            </w:r>
            <w:r w:rsidR="00F756B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="00F756B4"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near the exit door. Personal protective equipment must be removed before leaving the </w:t>
            </w:r>
            <w:r w:rsidR="00405549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44850" w:rsidRPr="00F62810" w14:paraId="3CA206C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5A095DD" w14:textId="6F534CA4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Biological hazard symbols must be displayed on freezers, refrigerators, or other storage units where microorganisms are stored.</w:t>
            </w:r>
          </w:p>
        </w:tc>
      </w:tr>
      <w:tr w:rsidR="00144850" w:rsidRPr="00F62810" w14:paraId="364FF78C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238FC9" w14:textId="69B01614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Backflow prevention for water and gas supplies must be fitted.</w:t>
            </w:r>
          </w:p>
        </w:tc>
      </w:tr>
      <w:tr w:rsidR="00144850" w:rsidRPr="00F62810" w14:paraId="7D1C006A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C58F6B" w14:textId="234BE9B0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Animal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Appropriate ventilation and containment systems must be in place to prevent cross-contamination between animal species.</w:t>
            </w:r>
          </w:p>
        </w:tc>
      </w:tr>
      <w:tr w:rsidR="00144850" w:rsidRPr="00F62810" w14:paraId="79E4757D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0B5C66" w14:textId="4161DB15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Aquatic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Tanks must have secure lids</w:t>
            </w:r>
            <w:r w:rsidR="00FA3EB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,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overflow prevention systems</w:t>
            </w:r>
            <w:r w:rsidR="00FA3EB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, and containment trays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3944ED" w:rsidRPr="00F62810" w14:paraId="3FDE2A3A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BFBFBF" w:themeFill="background2" w:themeFillShade="BF"/>
          </w:tcPr>
          <w:p w14:paraId="7525A2A9" w14:textId="2E9D7A41" w:rsidR="003250C9" w:rsidRPr="00F62810" w:rsidRDefault="00144850" w:rsidP="00144850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Procedural Requirements</w:t>
            </w:r>
          </w:p>
        </w:tc>
      </w:tr>
      <w:tr w:rsidR="00144850" w:rsidRPr="00F62810" w14:paraId="51CE7399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D02DC68" w14:textId="621E92E3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Access to the lab is restricted to authori</w:t>
            </w:r>
            <w:r w:rsidR="00237A1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ed personnel only.</w:t>
            </w:r>
          </w:p>
        </w:tc>
      </w:tr>
      <w:tr w:rsidR="00144850" w:rsidRPr="00F62810" w14:paraId="2A351B42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D297332" w14:textId="579FCB88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Benches must be kept free of clutter and decontaminated daily with a disinfectant effective against the agents used.</w:t>
            </w:r>
          </w:p>
        </w:tc>
      </w:tr>
      <w:tr w:rsidR="00A07F65" w:rsidRPr="00F62810" w14:paraId="6B625A1B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A215261" w14:textId="77777777" w:rsidR="00A07F65" w:rsidRPr="00F62810" w:rsidRDefault="00A07F65" w:rsidP="004E393F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Laboratory gowns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/coats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must be worn when working in the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and removed before leaving the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44850" w:rsidRPr="00F62810" w14:paraId="1E5AF47C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6BF320" w14:textId="2A003847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lastRenderedPageBreak/>
              <w:t xml:space="preserve">Laboratory </w:t>
            </w:r>
            <w:r w:rsidR="00237A1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gowns/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coats must be stored on the hooks provided when not being worn.</w:t>
            </w:r>
          </w:p>
        </w:tc>
      </w:tr>
      <w:tr w:rsidR="00144850" w:rsidRPr="00F62810" w14:paraId="51AB579F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303539C" w14:textId="210BFFDE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Specialised wastes must be segregated (e.g., broken glass, biological waste, radioactive waste) and disposed of in the appropriate method.</w:t>
            </w:r>
          </w:p>
        </w:tc>
      </w:tr>
      <w:tr w:rsidR="00144850" w:rsidRPr="00F62810" w14:paraId="22542065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D03A29" w14:textId="49F5FBA3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Closed footwear must be worn when working in the </w:t>
            </w:r>
            <w:r w:rsidR="00237A1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44850" w:rsidRPr="00F62810" w14:paraId="7B25E9A6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9F0EFA3" w14:textId="60DD7746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Long hair must be tied back, or a hair net must be worn.</w:t>
            </w:r>
          </w:p>
        </w:tc>
      </w:tr>
      <w:tr w:rsidR="00144850" w:rsidRPr="00F62810" w14:paraId="45EC6009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81F04B" w14:textId="40E8B65C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Safety glasses, face shields, and gloves must be worn where required or as indicated by risk assessment.</w:t>
            </w:r>
          </w:p>
        </w:tc>
      </w:tr>
      <w:tr w:rsidR="00144850" w:rsidRPr="00F62810" w14:paraId="34BA228D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D558BE" w14:textId="1A9DFBEF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Cultures of microorganisms must be clearly labelled (contents, owner, date, etc.)</w:t>
            </w:r>
            <w:r w:rsidR="000D722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, and stored appropriately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44850" w:rsidRPr="00F62810" w14:paraId="0A13CCD5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146F438" w14:textId="77053944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Disinfectant appropriate for the agents in use must be available and labelled with content, concentration, and expiry or preparation date.</w:t>
            </w:r>
          </w:p>
        </w:tc>
      </w:tr>
      <w:tr w:rsidR="00664406" w:rsidRPr="00F62810" w14:paraId="501305C6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1D4CAC" w14:textId="04FA04D8" w:rsidR="00664406" w:rsidRPr="00AD4188" w:rsidRDefault="00664406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Viable microorganisms must be sterili</w:t>
            </w:r>
            <w:r w:rsidR="00237A1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ed by pressure steam sterilization, treated with a chemical disinfectant, or incinerated in an EPA-approved facility before disposal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664406" w:rsidRPr="00F62810" w14:paraId="29132D9C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12810A3" w14:textId="069879CF" w:rsidR="00664406" w:rsidRPr="00AD4188" w:rsidRDefault="00664406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Documented spill procedures must be in place, and spill kits must be readily available in each </w:t>
            </w:r>
            <w:r w:rsidR="0028705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664406" w:rsidRPr="00F62810" w14:paraId="16D3EBE9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0137DF4" w14:textId="369BE42B" w:rsidR="00664406" w:rsidRPr="00AD4188" w:rsidRDefault="00664406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Hoses attached to taps must not extend into sinks to prevent contamination of potable water supplies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664406" w:rsidRPr="00F62810" w14:paraId="0B17971C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B73FCE" w14:textId="2285BB8A" w:rsidR="00664406" w:rsidRPr="00AD4188" w:rsidRDefault="00664406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The transport of microorganisms between </w:t>
            </w:r>
            <w:r w:rsidR="00A23FF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facilities</w:t>
            </w:r>
            <w:r w:rsidR="00A23FF4"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Pr="00664406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(including for disposal) must be conducted in a labelled, secondary, unbreakable container that can be easily decontaminated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144850" w:rsidRPr="00F62810" w14:paraId="060D14BC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51AF3F0" w14:textId="1E72EDB3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Animal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Animal cages and bedding must be decontaminated regularly, and animal waste must be properly disposed of according to ethics and biosecurity protocols.</w:t>
            </w:r>
          </w:p>
        </w:tc>
      </w:tr>
      <w:tr w:rsidR="00144850" w:rsidRPr="00F62810" w14:paraId="3FDB62D1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F8622E" w14:textId="4C296E41" w:rsidR="00144850" w:rsidRPr="00F62810" w:rsidRDefault="00144850" w:rsidP="0014485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Bidi"/>
                <w:color w:val="000000"/>
                <w:sz w:val="20"/>
                <w:szCs w:val="20"/>
                <w:lang w:val="en-AU"/>
              </w:rPr>
            </w:pPr>
            <w:r w:rsidRPr="7731A6EF">
              <w:rPr>
                <w:rFonts w:asciiTheme="minorHAnsi" w:eastAsia="Times New Roman" w:hAnsiTheme="minorHAnsi" w:cstheme="minorBidi"/>
                <w:b/>
                <w:sz w:val="20"/>
                <w:szCs w:val="20"/>
                <w:lang w:val="en-AU" w:eastAsia="en-AU"/>
              </w:rPr>
              <w:t>Aquatic Facilities</w:t>
            </w: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: Water quality and filtration systems must be regularly monitored, and </w:t>
            </w:r>
            <w:r w:rsidR="09D5E571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wastewater</w:t>
            </w: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 from aquatic tanks must be disposed of in accordance with environmental safety standards.</w:t>
            </w:r>
          </w:p>
        </w:tc>
      </w:tr>
      <w:tr w:rsidR="00D24274" w:rsidRPr="00F62810" w14:paraId="402FE9F4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F2F2F2" w:themeFill="background2" w:themeFillShade="F2"/>
            <w:vAlign w:val="center"/>
          </w:tcPr>
          <w:p w14:paraId="2E96556C" w14:textId="413D25DC" w:rsidR="00D24274" w:rsidRPr="00F62810" w:rsidRDefault="00D24274">
            <w:pPr>
              <w:pStyle w:val="Heading4"/>
              <w:jc w:val="center"/>
            </w:pPr>
            <w:r w:rsidRPr="00F62810">
              <w:t>PHYSICAL CONTAINMENT LEVEL 2 (PC</w:t>
            </w:r>
            <w:r w:rsidR="00CB17A3">
              <w:t>2</w:t>
            </w:r>
            <w:r w:rsidRPr="00F62810">
              <w:t>) REQUIREMENTS</w:t>
            </w:r>
          </w:p>
          <w:p w14:paraId="5857D3E5" w14:textId="31E4BE43" w:rsidR="00D24274" w:rsidRPr="00F62810" w:rsidRDefault="00D24274">
            <w:pPr>
              <w:pStyle w:val="Heading4"/>
              <w:jc w:val="center"/>
            </w:pPr>
            <w:r w:rsidRPr="00F62810">
              <w:t xml:space="preserve">Requirements 1 - </w:t>
            </w:r>
            <w:r w:rsidR="00282089">
              <w:t>73</w:t>
            </w:r>
            <w:r w:rsidRPr="00F62810">
              <w:t xml:space="preserve"> apply</w:t>
            </w:r>
          </w:p>
          <w:p w14:paraId="542E432B" w14:textId="13F5B675" w:rsidR="00D24274" w:rsidRDefault="00D24274" w:rsidP="0061098A">
            <w:pPr>
              <w:pStyle w:val="TableParagraph"/>
              <w:spacing w:before="120" w:after="120" w:line="264" w:lineRule="auto"/>
              <w:ind w:left="0"/>
              <w:jc w:val="both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PC2 Requirements enforce stricter containment and procedural protocols for moderate-risk biological agents</w:t>
            </w:r>
            <w:r w:rsidR="00F46092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(Risk-Group 2)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that can cause disease but are not easily transmissible. These standards include enhanced structural safeguards and the use of </w:t>
            </w:r>
            <w:r w:rsidR="002E6873" w:rsidRPr="00747D8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Class II </w:t>
            </w:r>
            <w:r w:rsidR="002E6873"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B</w:t>
            </w:r>
            <w:r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iological </w:t>
            </w:r>
            <w:r w:rsidR="002E6873"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S</w:t>
            </w:r>
            <w:r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afety </w:t>
            </w:r>
            <w:r w:rsidR="002E6873"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C</w:t>
            </w:r>
            <w:r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abinets</w:t>
            </w:r>
            <w:r w:rsidR="002E687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2E6873" w:rsidRPr="00115B7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(BSCII)</w:t>
            </w:r>
            <w:r w:rsidRPr="002E687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Common agents in PC2 </w:t>
            </w:r>
            <w:r w:rsidR="006A450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facilities</w:t>
            </w:r>
            <w:r w:rsidR="006A4509"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747D8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may 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include </w:t>
            </w:r>
            <w:r w:rsidRPr="00F62810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Salmonella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Pr="00F62810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>Staphylococcus aureus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, and human </w:t>
            </w:r>
            <w:r w:rsidR="007A4E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bodily fluid</w:t>
            </w:r>
            <w:r w:rsidR="00D54883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s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, which require safe handling procedures and stringent waste management</w:t>
            </w:r>
            <w:r w:rsidR="00F909C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F6281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to ensure the protection of personnel and the environment from infectious exposure.</w:t>
            </w:r>
          </w:p>
          <w:p w14:paraId="1C6DED28" w14:textId="58CF5C36" w:rsidR="0061098A" w:rsidRPr="00F62810" w:rsidRDefault="0061098A" w:rsidP="00115B71">
            <w:pPr>
              <w:pStyle w:val="TableParagraph"/>
              <w:spacing w:before="120" w:after="120" w:line="264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6509B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NB: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Points 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29, 30, 45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46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="00653F5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5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6</w:t>
            </w:r>
            <w:r w:rsidR="00653F5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, 5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7</w:t>
            </w:r>
            <w:r w:rsidR="00653F5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72</w:t>
            </w:r>
            <w:r w:rsidR="00653F5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and </w:t>
            </w:r>
            <w:r w:rsidR="00847DBB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7</w:t>
            </w:r>
            <w:r w:rsidR="0028208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3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 xml:space="preserve"> only apply to the relevant facility types</w:t>
            </w:r>
            <w:r w:rsidR="00F909C9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D24274" w:rsidRPr="00F62810" w14:paraId="040C8235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BFBFBF" w:themeFill="background2" w:themeFillShade="BF"/>
          </w:tcPr>
          <w:p w14:paraId="2A57C425" w14:textId="50514F6C" w:rsidR="00D24274" w:rsidRPr="00F62810" w:rsidRDefault="00D24274" w:rsidP="004E393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Structural Requirements</w:t>
            </w:r>
          </w:p>
        </w:tc>
      </w:tr>
      <w:tr w:rsidR="00F62810" w:rsidRPr="00F62810" w14:paraId="68E3A81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EBD8A8" w14:textId="5CA73E7A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The facility must be fully enclosed and lockable, </w:t>
            </w:r>
            <w:r w:rsidR="001A303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and e</w:t>
            </w:r>
            <w:r w:rsidR="001A3032"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ach access door </w:t>
            </w:r>
            <w:r w:rsidR="001A303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must</w:t>
            </w:r>
            <w:r w:rsidR="001A3032"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display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Pr="00F909C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PC2 signs</w:t>
            </w:r>
            <w:r w:rsidR="001A303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, </w:t>
            </w:r>
            <w:r w:rsidR="001A3032"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as issued by t</w:t>
            </w:r>
            <w:r w:rsidR="001A303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he IBC</w:t>
            </w:r>
            <w:r w:rsidR="00473D7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via the Research Services Office</w:t>
            </w:r>
            <w:r w:rsidR="001A3032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F62810" w:rsidRPr="00F62810" w14:paraId="13C92CB4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B3FBA2" w14:textId="20B2BBF5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Suitable containers shall be provided for collection, storage, and disposal of infectious material.</w:t>
            </w:r>
          </w:p>
        </w:tc>
      </w:tr>
      <w:tr w:rsidR="00F62810" w:rsidRPr="00F62810" w14:paraId="2B4B6E23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01E217" w14:textId="03E16E04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Protective covers are recommended for keyboards on workbenches. Contaminated keyboards must be decontaminated before disposal.</w:t>
            </w:r>
          </w:p>
        </w:tc>
      </w:tr>
      <w:tr w:rsidR="00F62810" w:rsidRPr="00F62810" w14:paraId="074C8013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F08C8A" w14:textId="46A91F0D" w:rsidR="00F62810" w:rsidRPr="006856DA" w:rsidRDefault="00302571" w:rsidP="006856DA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 suitable waste treatment process must be available, </w:t>
            </w:r>
            <w:r w:rsidR="008B7CD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such as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a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pressure steam sterili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er</w:t>
            </w:r>
            <w:r w:rsidR="008D382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(autoclave)</w:t>
            </w:r>
            <w:r w:rsidR="008B7CD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or an external waste treatment contractor.</w:t>
            </w:r>
            <w:r w:rsidR="00220FBB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Where</w:t>
            </w:r>
            <w:r w:rsidR="008D382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an autoclave is </w:t>
            </w:r>
            <w:r w:rsidR="008F6D9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used</w:t>
            </w:r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to decontaminate GMO’s</w:t>
            </w:r>
            <w:r w:rsidR="008F6D9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, it’s</w:t>
            </w:r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="008F6D93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effectiveness </w:t>
            </w:r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must be validated</w:t>
            </w:r>
            <w:r w:rsidR="00EF7D2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/verified</w:t>
            </w:r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proofErr w:type="gramStart"/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monthly</w:t>
            </w:r>
            <w:proofErr w:type="gramEnd"/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and the results </w:t>
            </w:r>
            <w:r w:rsidR="00D1122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maintained for a minimum of</w:t>
            </w:r>
            <w:r w:rsidR="009E0468" w:rsidRPr="009E046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12 months</w:t>
            </w:r>
            <w:r w:rsidR="00D1122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  <w:r w:rsidR="00F62810"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="00DD4D0A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Where an external contractor is used, adequate</w:t>
            </w:r>
            <w:r w:rsidR="00995FD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secure</w:t>
            </w:r>
            <w:r w:rsidR="00DD4D0A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waste storage</w:t>
            </w:r>
            <w:r w:rsidR="000309B9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must be available.</w:t>
            </w:r>
          </w:p>
        </w:tc>
      </w:tr>
      <w:tr w:rsidR="00F62810" w:rsidRPr="00F62810" w14:paraId="0FCA3381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89FD60" w14:textId="71F5F37D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lastRenderedPageBreak/>
              <w:t>Backflow prevention for gas and water supplies must be fitted.</w:t>
            </w:r>
          </w:p>
        </w:tc>
      </w:tr>
      <w:tr w:rsidR="00F62810" w:rsidRPr="00F62810" w14:paraId="098BFF61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8C404F" w14:textId="6118FF27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 hands-free operated hand basin or alternative must be available near the exit of each </w:t>
            </w:r>
            <w:r w:rsidR="00614F1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F62810" w:rsidRPr="00F62810" w14:paraId="0EDF3056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B91173" w14:textId="03583C2C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Long-term write-up areas shall not be provided within the PC2 facility boundary.</w:t>
            </w:r>
          </w:p>
        </w:tc>
      </w:tr>
      <w:tr w:rsidR="00F62810" w:rsidRPr="00F62810" w14:paraId="38128736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613939C" w14:textId="1701554F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</w:pP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If prions are handled, a </w:t>
            </w:r>
            <w:r w:rsidR="00B54605"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>BSCII</w:t>
            </w:r>
            <w:r w:rsidRPr="7731A6EF">
              <w:rPr>
                <w:rFonts w:asciiTheme="minorHAnsi" w:eastAsia="Times New Roman" w:hAnsiTheme="minorHAnsi" w:cstheme="minorBidi"/>
                <w:sz w:val="20"/>
                <w:szCs w:val="20"/>
                <w:lang w:val="en-AU" w:eastAsia="en-AU"/>
              </w:rPr>
              <w:t xml:space="preserve"> must be used.</w:t>
            </w:r>
          </w:p>
        </w:tc>
      </w:tr>
      <w:tr w:rsidR="00D520E7" w:rsidRPr="00F62810" w14:paraId="298A55A1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412737" w14:textId="29327EE2" w:rsidR="00D520E7" w:rsidRPr="00AD4188" w:rsidRDefault="00D520E7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D520E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The facility must be inspected at least once every 12 months by a person with knowledge and skill to enable that person to assess the facilit</w:t>
            </w:r>
            <w:r w:rsidR="007F72B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y’</w:t>
            </w:r>
            <w:r w:rsidRPr="00D520E7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 compliance.</w:t>
            </w:r>
          </w:p>
        </w:tc>
      </w:tr>
      <w:tr w:rsidR="00F62810" w:rsidRPr="00F62810" w14:paraId="3A0FC3FD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AE4E41A" w14:textId="543819AC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Animal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Rooms housing animals must include species-specific containment, with separate clean and dirty zones to prevent contamination.</w:t>
            </w:r>
          </w:p>
        </w:tc>
      </w:tr>
      <w:tr w:rsidR="00F62810" w:rsidRPr="00F62810" w14:paraId="42C131B7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B0ED2FE" w14:textId="54FF8A58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Aquatic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Tanks for aquatic species must be equipped with appropriate ventilation and secure covers to prevent escape and contamination.</w:t>
            </w:r>
          </w:p>
        </w:tc>
      </w:tr>
      <w:tr w:rsidR="00F62810" w:rsidRPr="00F62810" w14:paraId="24D9E3C9" w14:textId="77777777" w:rsidTr="7731A6EF">
        <w:trPr>
          <w:trHeight w:val="1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F2F2F2" w:themeColor="background2" w:themeShade="F2"/>
              <w:bottom w:val="single" w:sz="4" w:space="0" w:color="000000" w:themeColor="text1"/>
              <w:right w:val="single" w:sz="4" w:space="0" w:color="F2F2F2" w:themeColor="background2" w:themeShade="F2"/>
            </w:tcBorders>
            <w:shd w:val="clear" w:color="auto" w:fill="BFBFBF" w:themeFill="background2" w:themeFillShade="BF"/>
          </w:tcPr>
          <w:p w14:paraId="75284487" w14:textId="27AD566C" w:rsidR="00F62810" w:rsidRPr="00F62810" w:rsidRDefault="00F62810" w:rsidP="004E393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F6281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Procedural Requirements</w:t>
            </w:r>
          </w:p>
        </w:tc>
      </w:tr>
      <w:tr w:rsidR="00F62810" w:rsidRPr="00F62810" w14:paraId="7D845ECE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04497F" w14:textId="113A6D03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Access must be restricted to authori</w:t>
            </w:r>
            <w:r w:rsidR="007F72B1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ed personnel.</w:t>
            </w:r>
          </w:p>
        </w:tc>
      </w:tr>
      <w:tr w:rsidR="00F62810" w:rsidRPr="00F62810" w14:paraId="655AE327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360496" w14:textId="245200C9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Entrance doors must remain closed while work is in progress.</w:t>
            </w:r>
          </w:p>
        </w:tc>
      </w:tr>
      <w:tr w:rsidR="000025B6" w:rsidRPr="00F62810" w14:paraId="4E9F34AE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24034C" w14:textId="39DD9FC4" w:rsidR="000025B6" w:rsidRPr="00AD4188" w:rsidRDefault="000025B6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Rear-fastening l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aboratory gowns must be worn when working in the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and removed before leaving the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facility.</w:t>
            </w:r>
          </w:p>
        </w:tc>
      </w:tr>
      <w:tr w:rsidR="00F62810" w:rsidRPr="00F62810" w14:paraId="46E5AD78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C94840" w14:textId="66136316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Lab books and papers must be stored away from workbenches.</w:t>
            </w:r>
          </w:p>
        </w:tc>
      </w:tr>
      <w:tr w:rsidR="00F62810" w:rsidRPr="00F62810" w14:paraId="581C1D10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43CB5EC" w14:textId="0974B574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Work with specimens that pose an aerosol risk must be conducted in a </w:t>
            </w:r>
            <w:r w:rsidR="00B5460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BSCII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F62810" w:rsidRPr="00F62810" w14:paraId="46F56FC9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993D23E" w14:textId="5D61E0CE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Gloves must be worn when working in a </w:t>
            </w:r>
            <w:r w:rsidR="00B5460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BSCII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or handling infectious materials.</w:t>
            </w:r>
          </w:p>
        </w:tc>
      </w:tr>
      <w:tr w:rsidR="00F62810" w:rsidRPr="00F62810" w14:paraId="169FB8D2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0CE5500" w14:textId="0EFA2B7C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Infectious waste must be properly labelled and safely stored until</w:t>
            </w:r>
            <w:r w:rsidR="00B5460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="00BE352E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treated</w:t>
            </w:r>
            <w:r w:rsidR="00B54605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or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removed for disposal.</w:t>
            </w:r>
          </w:p>
        </w:tc>
      </w:tr>
      <w:tr w:rsidR="00A35ADF" w:rsidRPr="00F62810" w14:paraId="30D498C5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694DA6" w14:textId="2129D1A8" w:rsidR="00A35ADF" w:rsidRPr="00CB17A3" w:rsidRDefault="00A35ADF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8B193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Waste </w:t>
            </w:r>
            <w:r w:rsidR="000309B9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treatment </w:t>
            </w:r>
            <w:r w:rsidRPr="008B1934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processes that include heat, pressure, chemicals, or a combination of these parameters, to achieve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Pr="006856DA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decontamination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,</w:t>
            </w:r>
            <w:r w:rsidRPr="006856DA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shall be periodically validated to ensure ongoing efficacy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and records maintained for a minimum of 12 months</w:t>
            </w:r>
            <w:r w:rsidR="000309B9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F62810" w:rsidRPr="00F62810" w14:paraId="7E2ACFA2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881FF46" w14:textId="2E62F60F" w:rsidR="00F62810" w:rsidRPr="00F62810" w:rsidRDefault="00CB17A3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When an autoclave is used for decontaminating infectious waste, each load must be monitored to ensure proper sterili</w:t>
            </w:r>
            <w:r w:rsidR="004E74B9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ation. The autoclave must undergo monthly spore</w:t>
            </w:r>
            <w:r w:rsidR="00E524D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strip</w:t>
            </w:r>
            <w:r w:rsidRP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testing to verify its effectiveness, and annual calibration and maintenance to ensure continued reliability.</w:t>
            </w:r>
          </w:p>
        </w:tc>
      </w:tr>
      <w:tr w:rsidR="00F62810" w:rsidRPr="00F62810" w14:paraId="1851A257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B6C6453" w14:textId="76EC549D" w:rsidR="00F62810" w:rsidRPr="00F62810" w:rsidRDefault="00CB17A3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When handling infectious materials, a centrifuge with sealed rotors or buckets must be used to prevent aerosol release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F62810" w:rsidRPr="00F62810" w14:paraId="17D985DF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51D809" w14:textId="25867844" w:rsidR="00F62810" w:rsidRPr="00F62810" w:rsidRDefault="008D086B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Facility</w:t>
            </w:r>
            <w:r w:rsidRP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 xml:space="preserve"> </w:t>
            </w:r>
            <w:r w:rsidR="00CB17A3" w:rsidRP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personnel must receive instruction and training in the safe handling of infectious agents, with regular updates to ensure ongoing competency</w:t>
            </w:r>
            <w:r w:rsidR="00CB17A3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.</w:t>
            </w:r>
          </w:p>
        </w:tc>
      </w:tr>
      <w:tr w:rsidR="00F62810" w:rsidRPr="00F62810" w14:paraId="4C07BE5F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3FFE32" w14:textId="32C081E0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The use of sharps (needles, syringes, scalpels) must be minimi</w:t>
            </w:r>
            <w:r w:rsidR="00A96ECC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ed. All sharps must be disposed of in designated sharps containers.</w:t>
            </w:r>
          </w:p>
        </w:tc>
      </w:tr>
      <w:tr w:rsidR="00F62810" w:rsidRPr="00F62810" w14:paraId="1D5E7138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08096D" w14:textId="1E43388E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Glassware must be substituted with plasticware where possible.</w:t>
            </w:r>
          </w:p>
        </w:tc>
      </w:tr>
      <w:tr w:rsidR="00F62810" w:rsidRPr="00F62810" w14:paraId="5E7B8911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AB0DF84" w14:textId="20547EF1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Bacterial cultures must not be sniffed for odours.</w:t>
            </w:r>
          </w:p>
        </w:tc>
      </w:tr>
      <w:tr w:rsidR="00F62810" w:rsidRPr="00F62810" w14:paraId="5A5B208A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42C3B7" w14:textId="6496AD34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lastRenderedPageBreak/>
              <w:t>Animal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Training on the care and handling of animals must be provided for all personnel, and appropriate PPE must be worn during animal handling.</w:t>
            </w:r>
          </w:p>
        </w:tc>
      </w:tr>
      <w:tr w:rsidR="00F62810" w:rsidRPr="00F62810" w14:paraId="594456EB" w14:textId="77777777" w:rsidTr="7731A6EF">
        <w:trPr>
          <w:trHeight w:val="465"/>
        </w:trPr>
        <w:tc>
          <w:tcPr>
            <w:tcW w:w="100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C05E58F" w14:textId="037F92F0" w:rsidR="00F62810" w:rsidRPr="00F62810" w:rsidRDefault="00F62810" w:rsidP="00F6281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</w:pPr>
            <w:r w:rsidRPr="00AD418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AU" w:eastAsia="en-AU"/>
              </w:rPr>
              <w:t>Aquatic Facilities</w:t>
            </w:r>
            <w:r w:rsidRPr="00AD4188">
              <w:rPr>
                <w:rFonts w:asciiTheme="minorHAnsi" w:eastAsia="Times New Roman" w:hAnsiTheme="minorHAnsi" w:cstheme="minorHAnsi"/>
                <w:sz w:val="20"/>
                <w:szCs w:val="20"/>
                <w:lang w:val="en-AU" w:eastAsia="en-AU"/>
              </w:rPr>
              <w:t>: Safe handling protocols for aquatic species, including PPE and risk assessment for working with potentially harmful aquatic organisms, must be implemented.</w:t>
            </w:r>
          </w:p>
        </w:tc>
      </w:tr>
    </w:tbl>
    <w:p w14:paraId="00E5976E" w14:textId="77777777" w:rsidR="002F52DF" w:rsidRDefault="002F52DF" w:rsidP="00144850">
      <w:pPr>
        <w:jc w:val="both"/>
      </w:pPr>
    </w:p>
    <w:p w14:paraId="2768FE12" w14:textId="77777777" w:rsidR="0010336C" w:rsidRPr="0010336C" w:rsidRDefault="0010336C" w:rsidP="00115B71"/>
    <w:p w14:paraId="355666B9" w14:textId="77777777" w:rsidR="0010336C" w:rsidRPr="0010336C" w:rsidRDefault="0010336C" w:rsidP="00115B71"/>
    <w:p w14:paraId="3FD6D3A9" w14:textId="77777777" w:rsidR="0010336C" w:rsidRPr="0010336C" w:rsidRDefault="0010336C" w:rsidP="00115B71"/>
    <w:p w14:paraId="4740488C" w14:textId="6EA43162" w:rsidR="0010336C" w:rsidRPr="0010336C" w:rsidRDefault="0010336C" w:rsidP="00115B71">
      <w:pPr>
        <w:tabs>
          <w:tab w:val="left" w:pos="3225"/>
          <w:tab w:val="center" w:pos="5046"/>
        </w:tabs>
      </w:pPr>
      <w:r>
        <w:tab/>
      </w:r>
      <w:r>
        <w:tab/>
      </w:r>
    </w:p>
    <w:sectPr w:rsidR="0010336C" w:rsidRPr="0010336C" w:rsidSect="00F17662">
      <w:footerReference w:type="default" r:id="rId12"/>
      <w:headerReference w:type="first" r:id="rId13"/>
      <w:footerReference w:type="first" r:id="rId14"/>
      <w:pgSz w:w="11906" w:h="16838"/>
      <w:pgMar w:top="748" w:right="907" w:bottom="51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48DF" w14:textId="77777777" w:rsidR="00757082" w:rsidRDefault="00757082" w:rsidP="003261BE">
      <w:r>
        <w:separator/>
      </w:r>
    </w:p>
  </w:endnote>
  <w:endnote w:type="continuationSeparator" w:id="0">
    <w:p w14:paraId="053F7056" w14:textId="77777777" w:rsidR="00757082" w:rsidRDefault="00757082" w:rsidP="003261BE">
      <w:r>
        <w:continuationSeparator/>
      </w:r>
    </w:p>
  </w:endnote>
  <w:endnote w:type="continuationNotice" w:id="1">
    <w:p w14:paraId="43A1593E" w14:textId="77777777" w:rsidR="00757082" w:rsidRDefault="00757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CA90" w14:textId="77777777" w:rsidR="0000509C" w:rsidRDefault="0000509C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  <w:lang w:val="en-US"/>
      </w:rPr>
    </w:pPr>
  </w:p>
  <w:p w14:paraId="6249EE79" w14:textId="29308D27" w:rsidR="001F31ED" w:rsidRPr="00841E02" w:rsidRDefault="00E0042C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05707B1B" wp14:editId="472F6239">
          <wp:simplePos x="0" y="0"/>
          <wp:positionH relativeFrom="column">
            <wp:posOffset>-226685</wp:posOffset>
          </wp:positionH>
          <wp:positionV relativeFrom="page">
            <wp:posOffset>9883302</wp:posOffset>
          </wp:positionV>
          <wp:extent cx="1381121" cy="64374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02"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  <w:t xml:space="preserve">                                   </w:t>
    </w:r>
    <w:r w:rsidR="00CB77D6">
      <w:rPr>
        <w:rFonts w:cs="Arial"/>
        <w:sz w:val="18"/>
        <w:szCs w:val="18"/>
        <w:lang w:val="en-US"/>
      </w:rPr>
      <w:t xml:space="preserve">       </w:t>
    </w:r>
    <w:r w:rsidR="00311CB4">
      <w:rPr>
        <w:rFonts w:cs="Arial"/>
        <w:sz w:val="18"/>
        <w:szCs w:val="18"/>
        <w:lang w:val="en-US"/>
      </w:rPr>
      <w:t xml:space="preserve"> </w:t>
    </w:r>
    <w:r w:rsidR="00CB77D6" w:rsidRPr="00115B71">
      <w:rPr>
        <w:rFonts w:cs="Arial"/>
        <w:b/>
        <w:bCs/>
        <w:sz w:val="18"/>
        <w:szCs w:val="18"/>
        <w:lang w:val="en-US"/>
      </w:rPr>
      <w:t>BI013</w:t>
    </w:r>
    <w:r w:rsidR="00CB77D6">
      <w:rPr>
        <w:rFonts w:cs="Arial"/>
        <w:sz w:val="18"/>
        <w:szCs w:val="18"/>
        <w:lang w:val="en-US"/>
      </w:rPr>
      <w:t>:</w:t>
    </w:r>
    <w:r w:rsidR="00CB77D6" w:rsidRPr="00692B2C">
      <w:rPr>
        <w:rFonts w:cs="Arial"/>
        <w:sz w:val="18"/>
        <w:szCs w:val="18"/>
        <w:lang w:val="en-US"/>
      </w:rPr>
      <w:t xml:space="preserve"> Requirements for Biocontainment Facilities</w:t>
    </w:r>
    <w:r w:rsidR="00CB77D6" w:rsidRPr="00692B2C">
      <w:rPr>
        <w:rFonts w:ascii="Times New Roman" w:hAnsi="Times New Roman"/>
        <w:lang w:val="en-US"/>
      </w:rPr>
      <w:t xml:space="preserve"> </w:t>
    </w:r>
    <w:r w:rsidR="00CB77D6">
      <w:rPr>
        <w:rFonts w:cs="Arial"/>
        <w:sz w:val="18"/>
        <w:szCs w:val="18"/>
        <w:lang w:val="en-US"/>
      </w:rPr>
      <w:t xml:space="preserve">– Version 2.0 – Oct </w:t>
    </w:r>
    <w:proofErr w:type="gramStart"/>
    <w:r w:rsidR="00CB77D6">
      <w:rPr>
        <w:rFonts w:cs="Arial"/>
        <w:sz w:val="18"/>
        <w:szCs w:val="18"/>
        <w:lang w:val="en-US"/>
      </w:rPr>
      <w:t xml:space="preserve">2024 </w:t>
    </w:r>
    <w:r w:rsidR="00841E02">
      <w:rPr>
        <w:rFonts w:cs="Arial"/>
        <w:sz w:val="18"/>
        <w:szCs w:val="18"/>
        <w:lang w:val="en-US"/>
      </w:rPr>
      <w:t xml:space="preserve"> </w:t>
    </w:r>
    <w:r w:rsidR="00311CB4">
      <w:rPr>
        <w:rFonts w:cs="Arial"/>
        <w:sz w:val="18"/>
        <w:szCs w:val="18"/>
        <w:lang w:val="en-US"/>
      </w:rPr>
      <w:tab/>
    </w:r>
    <w:proofErr w:type="gramEnd"/>
    <w:r w:rsidR="00841E02" w:rsidRPr="00EE5E8A">
      <w:rPr>
        <w:rFonts w:cs="Arial"/>
        <w:sz w:val="18"/>
        <w:szCs w:val="18"/>
        <w:lang w:val="en-US"/>
      </w:rPr>
      <w:t xml:space="preserve">Page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PAGE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841E02">
      <w:rPr>
        <w:rFonts w:cs="Arial"/>
        <w:sz w:val="18"/>
        <w:szCs w:val="18"/>
        <w:lang w:val="en-US"/>
      </w:rPr>
      <w:t>2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 w:rsidRPr="00EE5E8A">
      <w:rPr>
        <w:rFonts w:cs="Arial"/>
        <w:sz w:val="18"/>
        <w:szCs w:val="18"/>
        <w:lang w:val="en-US"/>
      </w:rPr>
      <w:t xml:space="preserve"> of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NUMPAGES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841E02">
      <w:rPr>
        <w:rFonts w:cs="Arial"/>
        <w:sz w:val="18"/>
        <w:szCs w:val="18"/>
        <w:lang w:val="en-US"/>
      </w:rPr>
      <w:t>3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5161" w14:textId="2BDEEFA1" w:rsidR="00A63327" w:rsidRPr="00A63327" w:rsidRDefault="00D65A0E" w:rsidP="00A63327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 w:rsidRPr="00115B71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76FFA62" wp14:editId="6DE544E2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9096A7" w14:textId="77777777" w:rsidR="00085D91" w:rsidRPr="003307E1" w:rsidRDefault="00085D91" w:rsidP="00085D91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 w:rsidR="000511D0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38F04495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FFA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0F9096A7" w14:textId="77777777" w:rsidR="00085D91" w:rsidRPr="003307E1" w:rsidRDefault="00085D91" w:rsidP="00085D91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 w:rsidR="000511D0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38F04495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63327" w:rsidRPr="00115B71">
      <w:rPr>
        <w:rFonts w:cs="Arial"/>
        <w:sz w:val="18"/>
        <w:szCs w:val="18"/>
        <w:lang w:val="en-US"/>
      </w:rPr>
      <w:t xml:space="preserve"> </w:t>
    </w:r>
    <w:r w:rsidR="00692B2C">
      <w:rPr>
        <w:rFonts w:cs="Arial"/>
        <w:sz w:val="18"/>
        <w:szCs w:val="18"/>
        <w:lang w:val="en-US"/>
      </w:rPr>
      <w:t>B</w:t>
    </w:r>
    <w:r w:rsidR="00731333">
      <w:rPr>
        <w:rFonts w:cs="Arial"/>
        <w:sz w:val="18"/>
        <w:szCs w:val="18"/>
        <w:lang w:val="en-US"/>
      </w:rPr>
      <w:t>I</w:t>
    </w:r>
    <w:r w:rsidR="00692B2C">
      <w:rPr>
        <w:rFonts w:cs="Arial"/>
        <w:sz w:val="18"/>
        <w:szCs w:val="18"/>
        <w:lang w:val="en-US"/>
      </w:rPr>
      <w:t>0</w:t>
    </w:r>
    <w:r w:rsidR="00731333">
      <w:rPr>
        <w:rFonts w:cs="Arial"/>
        <w:sz w:val="18"/>
        <w:szCs w:val="18"/>
        <w:lang w:val="en-US"/>
      </w:rPr>
      <w:t>13</w:t>
    </w:r>
    <w:r w:rsidR="009D2966">
      <w:rPr>
        <w:rFonts w:cs="Arial"/>
        <w:sz w:val="18"/>
        <w:szCs w:val="18"/>
        <w:lang w:val="en-US"/>
      </w:rPr>
      <w:t>:</w:t>
    </w:r>
    <w:r w:rsidR="00A63327" w:rsidRPr="00115B71">
      <w:rPr>
        <w:rFonts w:cs="Arial"/>
        <w:sz w:val="18"/>
        <w:szCs w:val="18"/>
        <w:lang w:val="en-US"/>
      </w:rPr>
      <w:t xml:space="preserve"> </w:t>
    </w:r>
    <w:r w:rsidR="00692B2C" w:rsidRPr="00115B71">
      <w:rPr>
        <w:rFonts w:cs="Arial"/>
        <w:sz w:val="18"/>
        <w:szCs w:val="18"/>
        <w:lang w:val="en-US"/>
      </w:rPr>
      <w:t>Requirements for Biocontainment Facilities</w:t>
    </w:r>
    <w:r w:rsidR="00692B2C" w:rsidRPr="00692B2C">
      <w:rPr>
        <w:rFonts w:ascii="Times New Roman" w:hAnsi="Times New Roman"/>
        <w:lang w:val="en-US"/>
      </w:rPr>
      <w:t xml:space="preserve"> </w:t>
    </w:r>
    <w:proofErr w:type="gramStart"/>
    <w:r w:rsidR="00A63327">
      <w:rPr>
        <w:rFonts w:cs="Arial"/>
        <w:sz w:val="18"/>
        <w:szCs w:val="18"/>
        <w:lang w:val="en-US"/>
      </w:rPr>
      <w:t xml:space="preserve">–  </w:t>
    </w:r>
    <w:r w:rsidR="009D2966">
      <w:rPr>
        <w:rFonts w:cs="Arial"/>
        <w:sz w:val="18"/>
        <w:szCs w:val="18"/>
        <w:lang w:val="en-US"/>
      </w:rPr>
      <w:t>Version</w:t>
    </w:r>
    <w:proofErr w:type="gramEnd"/>
    <w:r w:rsidR="009D2966">
      <w:rPr>
        <w:rFonts w:cs="Arial"/>
        <w:sz w:val="18"/>
        <w:szCs w:val="18"/>
        <w:lang w:val="en-US"/>
      </w:rPr>
      <w:t xml:space="preserve"> 2.0  –  </w:t>
    </w:r>
    <w:r w:rsidR="00CB77D6">
      <w:rPr>
        <w:rFonts w:cs="Arial"/>
        <w:sz w:val="18"/>
        <w:szCs w:val="18"/>
        <w:lang w:val="en-US"/>
      </w:rPr>
      <w:t>Oct 2024</w:t>
    </w:r>
    <w:r w:rsidR="00A63327">
      <w:rPr>
        <w:rFonts w:cs="Arial"/>
        <w:sz w:val="18"/>
        <w:szCs w:val="18"/>
        <w:lang w:val="en-US"/>
      </w:rPr>
      <w:t xml:space="preserve"> </w: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A63327">
      <w:rPr>
        <w:rFonts w:cs="Arial"/>
        <w:sz w:val="18"/>
        <w:szCs w:val="18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A63327">
      <w:rPr>
        <w:rFonts w:cs="Arial"/>
        <w:sz w:val="18"/>
        <w:szCs w:val="18"/>
      </w:rPr>
      <w:t>3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4122" w14:textId="77777777" w:rsidR="00757082" w:rsidRDefault="00757082" w:rsidP="003261BE">
      <w:r>
        <w:separator/>
      </w:r>
    </w:p>
  </w:footnote>
  <w:footnote w:type="continuationSeparator" w:id="0">
    <w:p w14:paraId="42AAEEB9" w14:textId="77777777" w:rsidR="00757082" w:rsidRDefault="00757082" w:rsidP="003261BE">
      <w:r>
        <w:continuationSeparator/>
      </w:r>
    </w:p>
  </w:footnote>
  <w:footnote w:type="continuationNotice" w:id="1">
    <w:p w14:paraId="1C4F0E9A" w14:textId="77777777" w:rsidR="00757082" w:rsidRDefault="00757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E6A" w14:textId="1BA7F535" w:rsidR="001F31ED" w:rsidRPr="00115B71" w:rsidRDefault="00E0042C" w:rsidP="286FC3EA">
    <w:pPr>
      <w:pStyle w:val="Header"/>
      <w:rPr>
        <w:b/>
        <w:bCs/>
      </w:rPr>
    </w:pPr>
    <w:r w:rsidRPr="00115B71">
      <w:rPr>
        <w:b/>
        <w:bCs/>
        <w:noProof/>
        <w:color w:val="5BC2E7"/>
        <w:sz w:val="24"/>
        <w:szCs w:val="24"/>
      </w:rPr>
      <w:drawing>
        <wp:anchor distT="0" distB="0" distL="114300" distR="114300" simplePos="0" relativeHeight="251658240" behindDoc="1" locked="0" layoutInCell="1" allowOverlap="1" wp14:anchorId="7FD7ED02" wp14:editId="19AC70CC">
          <wp:simplePos x="0" y="0"/>
          <wp:positionH relativeFrom="column">
            <wp:posOffset>4655185</wp:posOffset>
          </wp:positionH>
          <wp:positionV relativeFrom="page">
            <wp:posOffset>223520</wp:posOffset>
          </wp:positionV>
          <wp:extent cx="1990800" cy="73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86FC3EA" w:rsidRPr="00B61ED6">
      <w:rPr>
        <w:b/>
        <w:bCs/>
        <w:sz w:val="24"/>
        <w:szCs w:val="24"/>
      </w:rPr>
      <w:t>BI013 v.2.0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04EB4D01"/>
    <w:multiLevelType w:val="hybridMultilevel"/>
    <w:tmpl w:val="C374C6AA"/>
    <w:lvl w:ilvl="0" w:tplc="3814AF7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1EC"/>
    <w:multiLevelType w:val="hybridMultilevel"/>
    <w:tmpl w:val="75E8AB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0311B"/>
    <w:multiLevelType w:val="hybridMultilevel"/>
    <w:tmpl w:val="0D82B4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8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2E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D6A20"/>
    <w:multiLevelType w:val="hybridMultilevel"/>
    <w:tmpl w:val="14488CAA"/>
    <w:lvl w:ilvl="0" w:tplc="3814AF7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18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E4F1B"/>
    <w:multiLevelType w:val="hybridMultilevel"/>
    <w:tmpl w:val="E520BA7C"/>
    <w:lvl w:ilvl="0" w:tplc="3814AF7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1" w15:restartNumberingAfterBreak="0">
    <w:nsid w:val="61553232"/>
    <w:multiLevelType w:val="hybridMultilevel"/>
    <w:tmpl w:val="D520E40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24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5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14734"/>
    <w:multiLevelType w:val="hybridMultilevel"/>
    <w:tmpl w:val="929AB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29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0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5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242561">
    <w:abstractNumId w:val="5"/>
  </w:num>
  <w:num w:numId="2" w16cid:durableId="107244494">
    <w:abstractNumId w:val="6"/>
  </w:num>
  <w:num w:numId="3" w16cid:durableId="83693918">
    <w:abstractNumId w:val="35"/>
  </w:num>
  <w:num w:numId="4" w16cid:durableId="1232808294">
    <w:abstractNumId w:val="8"/>
  </w:num>
  <w:num w:numId="5" w16cid:durableId="505049876">
    <w:abstractNumId w:val="16"/>
  </w:num>
  <w:num w:numId="6" w16cid:durableId="192764593">
    <w:abstractNumId w:val="32"/>
  </w:num>
  <w:num w:numId="7" w16cid:durableId="1138766945">
    <w:abstractNumId w:val="31"/>
  </w:num>
  <w:num w:numId="8" w16cid:durableId="1784768844">
    <w:abstractNumId w:val="22"/>
  </w:num>
  <w:num w:numId="9" w16cid:durableId="472404198">
    <w:abstractNumId w:val="9"/>
  </w:num>
  <w:num w:numId="10" w16cid:durableId="1918053432">
    <w:abstractNumId w:val="30"/>
  </w:num>
  <w:num w:numId="11" w16cid:durableId="1563179478">
    <w:abstractNumId w:val="26"/>
  </w:num>
  <w:num w:numId="12" w16cid:durableId="1518694391">
    <w:abstractNumId w:val="20"/>
  </w:num>
  <w:num w:numId="13" w16cid:durableId="162550781">
    <w:abstractNumId w:val="7"/>
  </w:num>
  <w:num w:numId="14" w16cid:durableId="684131834">
    <w:abstractNumId w:val="29"/>
  </w:num>
  <w:num w:numId="15" w16cid:durableId="1473213117">
    <w:abstractNumId w:val="0"/>
  </w:num>
  <w:num w:numId="16" w16cid:durableId="1582521063">
    <w:abstractNumId w:val="34"/>
  </w:num>
  <w:num w:numId="17" w16cid:durableId="1309090727">
    <w:abstractNumId w:val="28"/>
  </w:num>
  <w:num w:numId="18" w16cid:durableId="992369078">
    <w:abstractNumId w:val="23"/>
  </w:num>
  <w:num w:numId="19" w16cid:durableId="1418134302">
    <w:abstractNumId w:val="18"/>
  </w:num>
  <w:num w:numId="20" w16cid:durableId="43529461">
    <w:abstractNumId w:val="15"/>
  </w:num>
  <w:num w:numId="21" w16cid:durableId="1641154951">
    <w:abstractNumId w:val="12"/>
  </w:num>
  <w:num w:numId="22" w16cid:durableId="931203863">
    <w:abstractNumId w:val="17"/>
  </w:num>
  <w:num w:numId="23" w16cid:durableId="1230848272">
    <w:abstractNumId w:val="24"/>
  </w:num>
  <w:num w:numId="24" w16cid:durableId="1652517212">
    <w:abstractNumId w:val="14"/>
  </w:num>
  <w:num w:numId="25" w16cid:durableId="87387656">
    <w:abstractNumId w:val="25"/>
  </w:num>
  <w:num w:numId="26" w16cid:durableId="1917132655">
    <w:abstractNumId w:val="10"/>
  </w:num>
  <w:num w:numId="27" w16cid:durableId="1275551518">
    <w:abstractNumId w:val="33"/>
  </w:num>
  <w:num w:numId="28" w16cid:durableId="507914078">
    <w:abstractNumId w:val="11"/>
  </w:num>
  <w:num w:numId="29" w16cid:durableId="1437288145">
    <w:abstractNumId w:val="3"/>
  </w:num>
  <w:num w:numId="30" w16cid:durableId="2106876339">
    <w:abstractNumId w:val="19"/>
  </w:num>
  <w:num w:numId="31" w16cid:durableId="491068404">
    <w:abstractNumId w:val="2"/>
  </w:num>
  <w:num w:numId="32" w16cid:durableId="2006397487">
    <w:abstractNumId w:val="27"/>
  </w:num>
  <w:num w:numId="33" w16cid:durableId="93288494">
    <w:abstractNumId w:val="21"/>
  </w:num>
  <w:num w:numId="34" w16cid:durableId="2118405305">
    <w:abstractNumId w:val="4"/>
  </w:num>
  <w:num w:numId="35" w16cid:durableId="13697293">
    <w:abstractNumId w:val="1"/>
  </w:num>
  <w:num w:numId="36" w16cid:durableId="1223445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1325D1"/>
    <w:rsid w:val="000025B6"/>
    <w:rsid w:val="0000509C"/>
    <w:rsid w:val="000059BF"/>
    <w:rsid w:val="00011E0D"/>
    <w:rsid w:val="00013A50"/>
    <w:rsid w:val="00017505"/>
    <w:rsid w:val="000309B9"/>
    <w:rsid w:val="00032877"/>
    <w:rsid w:val="00035273"/>
    <w:rsid w:val="000373D4"/>
    <w:rsid w:val="00040969"/>
    <w:rsid w:val="00041903"/>
    <w:rsid w:val="000455BE"/>
    <w:rsid w:val="000467D8"/>
    <w:rsid w:val="000511D0"/>
    <w:rsid w:val="000513B0"/>
    <w:rsid w:val="00054DCB"/>
    <w:rsid w:val="00055FD4"/>
    <w:rsid w:val="00060C12"/>
    <w:rsid w:val="00061D19"/>
    <w:rsid w:val="00063044"/>
    <w:rsid w:val="000710D2"/>
    <w:rsid w:val="00073828"/>
    <w:rsid w:val="00074057"/>
    <w:rsid w:val="00080398"/>
    <w:rsid w:val="00085D91"/>
    <w:rsid w:val="00095DE2"/>
    <w:rsid w:val="000B0D12"/>
    <w:rsid w:val="000C1401"/>
    <w:rsid w:val="000C3DCC"/>
    <w:rsid w:val="000C6886"/>
    <w:rsid w:val="000D436A"/>
    <w:rsid w:val="000D7221"/>
    <w:rsid w:val="000E346C"/>
    <w:rsid w:val="000E3A86"/>
    <w:rsid w:val="000E6D37"/>
    <w:rsid w:val="000F7318"/>
    <w:rsid w:val="0010011D"/>
    <w:rsid w:val="001025FC"/>
    <w:rsid w:val="0010336C"/>
    <w:rsid w:val="00103B99"/>
    <w:rsid w:val="00103FA0"/>
    <w:rsid w:val="001051F6"/>
    <w:rsid w:val="00111F5C"/>
    <w:rsid w:val="00114862"/>
    <w:rsid w:val="00115B71"/>
    <w:rsid w:val="001164E3"/>
    <w:rsid w:val="0011773D"/>
    <w:rsid w:val="001213E8"/>
    <w:rsid w:val="00122BE7"/>
    <w:rsid w:val="001249A0"/>
    <w:rsid w:val="0013137D"/>
    <w:rsid w:val="00132540"/>
    <w:rsid w:val="001325D1"/>
    <w:rsid w:val="00132B3B"/>
    <w:rsid w:val="00137CA7"/>
    <w:rsid w:val="00144850"/>
    <w:rsid w:val="00162ACE"/>
    <w:rsid w:val="00175889"/>
    <w:rsid w:val="00182350"/>
    <w:rsid w:val="00184B84"/>
    <w:rsid w:val="00195A61"/>
    <w:rsid w:val="001A0AE5"/>
    <w:rsid w:val="001A0D7D"/>
    <w:rsid w:val="001A3032"/>
    <w:rsid w:val="001B1F58"/>
    <w:rsid w:val="001D227E"/>
    <w:rsid w:val="001E5205"/>
    <w:rsid w:val="001E702D"/>
    <w:rsid w:val="001F13A1"/>
    <w:rsid w:val="001F31ED"/>
    <w:rsid w:val="0021377B"/>
    <w:rsid w:val="00214F76"/>
    <w:rsid w:val="002177FB"/>
    <w:rsid w:val="00220FBB"/>
    <w:rsid w:val="002224C5"/>
    <w:rsid w:val="00236C6E"/>
    <w:rsid w:val="00237A17"/>
    <w:rsid w:val="0024207A"/>
    <w:rsid w:val="00243CFE"/>
    <w:rsid w:val="00250C86"/>
    <w:rsid w:val="00254342"/>
    <w:rsid w:val="00254FA5"/>
    <w:rsid w:val="0025579D"/>
    <w:rsid w:val="00255AF6"/>
    <w:rsid w:val="00270265"/>
    <w:rsid w:val="00270ABB"/>
    <w:rsid w:val="00271225"/>
    <w:rsid w:val="00282089"/>
    <w:rsid w:val="00287055"/>
    <w:rsid w:val="00290E28"/>
    <w:rsid w:val="00292EDF"/>
    <w:rsid w:val="00293318"/>
    <w:rsid w:val="002A10A3"/>
    <w:rsid w:val="002A2234"/>
    <w:rsid w:val="002A4E38"/>
    <w:rsid w:val="002B09ED"/>
    <w:rsid w:val="002B11BC"/>
    <w:rsid w:val="002D2A06"/>
    <w:rsid w:val="002D716C"/>
    <w:rsid w:val="002E2205"/>
    <w:rsid w:val="002E6873"/>
    <w:rsid w:val="002F3040"/>
    <w:rsid w:val="002F3550"/>
    <w:rsid w:val="002F52DF"/>
    <w:rsid w:val="00302571"/>
    <w:rsid w:val="00302766"/>
    <w:rsid w:val="00311CB4"/>
    <w:rsid w:val="00313E96"/>
    <w:rsid w:val="0031643B"/>
    <w:rsid w:val="003170EF"/>
    <w:rsid w:val="00321CF7"/>
    <w:rsid w:val="00323265"/>
    <w:rsid w:val="00324E28"/>
    <w:rsid w:val="003250C9"/>
    <w:rsid w:val="003261BE"/>
    <w:rsid w:val="00330DEF"/>
    <w:rsid w:val="00341361"/>
    <w:rsid w:val="00341AA4"/>
    <w:rsid w:val="00344EA4"/>
    <w:rsid w:val="00353494"/>
    <w:rsid w:val="00357E54"/>
    <w:rsid w:val="00363AAA"/>
    <w:rsid w:val="00374FFE"/>
    <w:rsid w:val="00375F84"/>
    <w:rsid w:val="00377AC9"/>
    <w:rsid w:val="00385DF9"/>
    <w:rsid w:val="003919EE"/>
    <w:rsid w:val="003944ED"/>
    <w:rsid w:val="003A5568"/>
    <w:rsid w:val="003B722C"/>
    <w:rsid w:val="003D0132"/>
    <w:rsid w:val="003E04F4"/>
    <w:rsid w:val="003E11A8"/>
    <w:rsid w:val="003E3D7B"/>
    <w:rsid w:val="003E6BF7"/>
    <w:rsid w:val="003F4C95"/>
    <w:rsid w:val="003F6A6E"/>
    <w:rsid w:val="004004FC"/>
    <w:rsid w:val="00404E77"/>
    <w:rsid w:val="00405549"/>
    <w:rsid w:val="004067E1"/>
    <w:rsid w:val="004142A8"/>
    <w:rsid w:val="0042240E"/>
    <w:rsid w:val="00427070"/>
    <w:rsid w:val="004270AD"/>
    <w:rsid w:val="00433076"/>
    <w:rsid w:val="004423A3"/>
    <w:rsid w:val="0044301B"/>
    <w:rsid w:val="00451827"/>
    <w:rsid w:val="004526FE"/>
    <w:rsid w:val="004530E5"/>
    <w:rsid w:val="00473D72"/>
    <w:rsid w:val="00485BC8"/>
    <w:rsid w:val="00486234"/>
    <w:rsid w:val="004A1B4A"/>
    <w:rsid w:val="004A694A"/>
    <w:rsid w:val="004B69EE"/>
    <w:rsid w:val="004C1F84"/>
    <w:rsid w:val="004C7785"/>
    <w:rsid w:val="004D63B7"/>
    <w:rsid w:val="004E393F"/>
    <w:rsid w:val="004E74B9"/>
    <w:rsid w:val="004F2218"/>
    <w:rsid w:val="004F53D7"/>
    <w:rsid w:val="004F6073"/>
    <w:rsid w:val="004F74A7"/>
    <w:rsid w:val="0051039D"/>
    <w:rsid w:val="005120D4"/>
    <w:rsid w:val="00512412"/>
    <w:rsid w:val="00512D06"/>
    <w:rsid w:val="005143B2"/>
    <w:rsid w:val="00520781"/>
    <w:rsid w:val="005265F9"/>
    <w:rsid w:val="0053027B"/>
    <w:rsid w:val="00531F9E"/>
    <w:rsid w:val="00536829"/>
    <w:rsid w:val="005402FA"/>
    <w:rsid w:val="00540F65"/>
    <w:rsid w:val="005523C3"/>
    <w:rsid w:val="005573A5"/>
    <w:rsid w:val="005621D2"/>
    <w:rsid w:val="005626C6"/>
    <w:rsid w:val="00567362"/>
    <w:rsid w:val="0056782B"/>
    <w:rsid w:val="00570132"/>
    <w:rsid w:val="0057144E"/>
    <w:rsid w:val="00575949"/>
    <w:rsid w:val="00576B16"/>
    <w:rsid w:val="005849C3"/>
    <w:rsid w:val="00590AB7"/>
    <w:rsid w:val="005A1482"/>
    <w:rsid w:val="005A4CA1"/>
    <w:rsid w:val="005C4550"/>
    <w:rsid w:val="005D7AB8"/>
    <w:rsid w:val="005E6986"/>
    <w:rsid w:val="005F39C5"/>
    <w:rsid w:val="005F6E12"/>
    <w:rsid w:val="005F700C"/>
    <w:rsid w:val="006031EA"/>
    <w:rsid w:val="00606289"/>
    <w:rsid w:val="0061098A"/>
    <w:rsid w:val="00611DF0"/>
    <w:rsid w:val="00614F15"/>
    <w:rsid w:val="0061503E"/>
    <w:rsid w:val="006152DF"/>
    <w:rsid w:val="00633331"/>
    <w:rsid w:val="00634D6B"/>
    <w:rsid w:val="00635BC4"/>
    <w:rsid w:val="00635CF0"/>
    <w:rsid w:val="00644931"/>
    <w:rsid w:val="00653F5F"/>
    <w:rsid w:val="0066224B"/>
    <w:rsid w:val="00664406"/>
    <w:rsid w:val="006773F0"/>
    <w:rsid w:val="00681108"/>
    <w:rsid w:val="006856DA"/>
    <w:rsid w:val="00691A3B"/>
    <w:rsid w:val="00692B2C"/>
    <w:rsid w:val="00693CF2"/>
    <w:rsid w:val="006973D6"/>
    <w:rsid w:val="006A4509"/>
    <w:rsid w:val="006D6839"/>
    <w:rsid w:val="006E1D04"/>
    <w:rsid w:val="006E676A"/>
    <w:rsid w:val="006E7E64"/>
    <w:rsid w:val="007017BB"/>
    <w:rsid w:val="007022D6"/>
    <w:rsid w:val="00702512"/>
    <w:rsid w:val="00702AB6"/>
    <w:rsid w:val="007039A8"/>
    <w:rsid w:val="00707AEE"/>
    <w:rsid w:val="00714336"/>
    <w:rsid w:val="007206D5"/>
    <w:rsid w:val="0072165D"/>
    <w:rsid w:val="0073074D"/>
    <w:rsid w:val="00731333"/>
    <w:rsid w:val="00731E1D"/>
    <w:rsid w:val="00732A4F"/>
    <w:rsid w:val="00743F8D"/>
    <w:rsid w:val="00746F54"/>
    <w:rsid w:val="00747D8D"/>
    <w:rsid w:val="0075504F"/>
    <w:rsid w:val="007550D7"/>
    <w:rsid w:val="00755B54"/>
    <w:rsid w:val="00756400"/>
    <w:rsid w:val="00757082"/>
    <w:rsid w:val="0075791A"/>
    <w:rsid w:val="007622E8"/>
    <w:rsid w:val="00764432"/>
    <w:rsid w:val="00766C2F"/>
    <w:rsid w:val="00770EE5"/>
    <w:rsid w:val="00777B45"/>
    <w:rsid w:val="00785A1C"/>
    <w:rsid w:val="007918BE"/>
    <w:rsid w:val="00791D13"/>
    <w:rsid w:val="00795103"/>
    <w:rsid w:val="00795192"/>
    <w:rsid w:val="007A4E9D"/>
    <w:rsid w:val="007B2B47"/>
    <w:rsid w:val="007C7CBE"/>
    <w:rsid w:val="007E4532"/>
    <w:rsid w:val="007F58AB"/>
    <w:rsid w:val="007F72B1"/>
    <w:rsid w:val="008110B3"/>
    <w:rsid w:val="00812AB5"/>
    <w:rsid w:val="00821F45"/>
    <w:rsid w:val="008268B3"/>
    <w:rsid w:val="00841E02"/>
    <w:rsid w:val="00842050"/>
    <w:rsid w:val="00847DBB"/>
    <w:rsid w:val="00852F27"/>
    <w:rsid w:val="00866ADE"/>
    <w:rsid w:val="00870AF9"/>
    <w:rsid w:val="008724A1"/>
    <w:rsid w:val="00883F31"/>
    <w:rsid w:val="008949BB"/>
    <w:rsid w:val="0089581D"/>
    <w:rsid w:val="008A1D75"/>
    <w:rsid w:val="008A2433"/>
    <w:rsid w:val="008A2B0C"/>
    <w:rsid w:val="008A64AF"/>
    <w:rsid w:val="008B1934"/>
    <w:rsid w:val="008B452C"/>
    <w:rsid w:val="008B7CDB"/>
    <w:rsid w:val="008C1B4B"/>
    <w:rsid w:val="008C3DDE"/>
    <w:rsid w:val="008D086B"/>
    <w:rsid w:val="008D0AFE"/>
    <w:rsid w:val="008D3677"/>
    <w:rsid w:val="008D3827"/>
    <w:rsid w:val="008D52B4"/>
    <w:rsid w:val="008D6084"/>
    <w:rsid w:val="008F63B9"/>
    <w:rsid w:val="008F6D93"/>
    <w:rsid w:val="00905CFD"/>
    <w:rsid w:val="00907141"/>
    <w:rsid w:val="00907D5A"/>
    <w:rsid w:val="00907EA8"/>
    <w:rsid w:val="00911A7C"/>
    <w:rsid w:val="00917E75"/>
    <w:rsid w:val="00917FC1"/>
    <w:rsid w:val="009206AE"/>
    <w:rsid w:val="00945125"/>
    <w:rsid w:val="0095761D"/>
    <w:rsid w:val="0096381F"/>
    <w:rsid w:val="00963BEA"/>
    <w:rsid w:val="00970F64"/>
    <w:rsid w:val="00991435"/>
    <w:rsid w:val="009918D4"/>
    <w:rsid w:val="00993514"/>
    <w:rsid w:val="0099509B"/>
    <w:rsid w:val="00995FD4"/>
    <w:rsid w:val="009A1BAC"/>
    <w:rsid w:val="009A4DEA"/>
    <w:rsid w:val="009A4FB6"/>
    <w:rsid w:val="009C49F0"/>
    <w:rsid w:val="009C4CFC"/>
    <w:rsid w:val="009C768D"/>
    <w:rsid w:val="009D2966"/>
    <w:rsid w:val="009D5E5F"/>
    <w:rsid w:val="009D7630"/>
    <w:rsid w:val="009E0468"/>
    <w:rsid w:val="009E2B09"/>
    <w:rsid w:val="009E5D45"/>
    <w:rsid w:val="00A00A9A"/>
    <w:rsid w:val="00A01940"/>
    <w:rsid w:val="00A07F65"/>
    <w:rsid w:val="00A13313"/>
    <w:rsid w:val="00A16981"/>
    <w:rsid w:val="00A2084B"/>
    <w:rsid w:val="00A23FF4"/>
    <w:rsid w:val="00A26800"/>
    <w:rsid w:val="00A35ADF"/>
    <w:rsid w:val="00A415F9"/>
    <w:rsid w:val="00A43FAD"/>
    <w:rsid w:val="00A45EA1"/>
    <w:rsid w:val="00A47FEB"/>
    <w:rsid w:val="00A51F41"/>
    <w:rsid w:val="00A61499"/>
    <w:rsid w:val="00A63327"/>
    <w:rsid w:val="00A654DF"/>
    <w:rsid w:val="00A67314"/>
    <w:rsid w:val="00A73BFA"/>
    <w:rsid w:val="00A76D1B"/>
    <w:rsid w:val="00A8631A"/>
    <w:rsid w:val="00A91AB8"/>
    <w:rsid w:val="00A9390B"/>
    <w:rsid w:val="00A96D53"/>
    <w:rsid w:val="00A96ECC"/>
    <w:rsid w:val="00AA21AB"/>
    <w:rsid w:val="00AB2008"/>
    <w:rsid w:val="00AB5785"/>
    <w:rsid w:val="00AB790D"/>
    <w:rsid w:val="00AC02CA"/>
    <w:rsid w:val="00AC4F40"/>
    <w:rsid w:val="00AC4FA9"/>
    <w:rsid w:val="00AD3A2F"/>
    <w:rsid w:val="00AE1DEA"/>
    <w:rsid w:val="00AE6B00"/>
    <w:rsid w:val="00AE7DA3"/>
    <w:rsid w:val="00AF073F"/>
    <w:rsid w:val="00B03C89"/>
    <w:rsid w:val="00B101D0"/>
    <w:rsid w:val="00B162F2"/>
    <w:rsid w:val="00B234CB"/>
    <w:rsid w:val="00B2414D"/>
    <w:rsid w:val="00B254F0"/>
    <w:rsid w:val="00B27C53"/>
    <w:rsid w:val="00B32B52"/>
    <w:rsid w:val="00B3421B"/>
    <w:rsid w:val="00B40961"/>
    <w:rsid w:val="00B430D5"/>
    <w:rsid w:val="00B506AC"/>
    <w:rsid w:val="00B5307D"/>
    <w:rsid w:val="00B54605"/>
    <w:rsid w:val="00B60DF6"/>
    <w:rsid w:val="00B61584"/>
    <w:rsid w:val="00B61ED6"/>
    <w:rsid w:val="00B71122"/>
    <w:rsid w:val="00B715DF"/>
    <w:rsid w:val="00B770F7"/>
    <w:rsid w:val="00B830EE"/>
    <w:rsid w:val="00B859E5"/>
    <w:rsid w:val="00B868C0"/>
    <w:rsid w:val="00B87770"/>
    <w:rsid w:val="00B922E8"/>
    <w:rsid w:val="00B92DEA"/>
    <w:rsid w:val="00B94B2B"/>
    <w:rsid w:val="00B952D5"/>
    <w:rsid w:val="00B974F7"/>
    <w:rsid w:val="00BA3666"/>
    <w:rsid w:val="00BA3C73"/>
    <w:rsid w:val="00BB0D6D"/>
    <w:rsid w:val="00BB1268"/>
    <w:rsid w:val="00BB44FB"/>
    <w:rsid w:val="00BB670F"/>
    <w:rsid w:val="00BC1930"/>
    <w:rsid w:val="00BD6D85"/>
    <w:rsid w:val="00BD7335"/>
    <w:rsid w:val="00BD7510"/>
    <w:rsid w:val="00BE01AE"/>
    <w:rsid w:val="00BE352E"/>
    <w:rsid w:val="00BF1B1C"/>
    <w:rsid w:val="00C0054E"/>
    <w:rsid w:val="00C1211B"/>
    <w:rsid w:val="00C2721B"/>
    <w:rsid w:val="00C33126"/>
    <w:rsid w:val="00C3547F"/>
    <w:rsid w:val="00C4231A"/>
    <w:rsid w:val="00C44D41"/>
    <w:rsid w:val="00C459EF"/>
    <w:rsid w:val="00C4642B"/>
    <w:rsid w:val="00C46B2B"/>
    <w:rsid w:val="00C5228D"/>
    <w:rsid w:val="00C617B0"/>
    <w:rsid w:val="00C70562"/>
    <w:rsid w:val="00C70957"/>
    <w:rsid w:val="00C73444"/>
    <w:rsid w:val="00C75847"/>
    <w:rsid w:val="00C767E2"/>
    <w:rsid w:val="00C84BC9"/>
    <w:rsid w:val="00C852C1"/>
    <w:rsid w:val="00C86BC6"/>
    <w:rsid w:val="00C90247"/>
    <w:rsid w:val="00C9261B"/>
    <w:rsid w:val="00C92E37"/>
    <w:rsid w:val="00C95E7D"/>
    <w:rsid w:val="00CA160A"/>
    <w:rsid w:val="00CB17A3"/>
    <w:rsid w:val="00CB3166"/>
    <w:rsid w:val="00CB77D6"/>
    <w:rsid w:val="00CD0CDF"/>
    <w:rsid w:val="00CE3B6C"/>
    <w:rsid w:val="00D00D13"/>
    <w:rsid w:val="00D048E6"/>
    <w:rsid w:val="00D05B8D"/>
    <w:rsid w:val="00D076D7"/>
    <w:rsid w:val="00D0788B"/>
    <w:rsid w:val="00D11224"/>
    <w:rsid w:val="00D13629"/>
    <w:rsid w:val="00D15887"/>
    <w:rsid w:val="00D22A0A"/>
    <w:rsid w:val="00D24274"/>
    <w:rsid w:val="00D272AA"/>
    <w:rsid w:val="00D476A8"/>
    <w:rsid w:val="00D520E7"/>
    <w:rsid w:val="00D527E1"/>
    <w:rsid w:val="00D54883"/>
    <w:rsid w:val="00D63280"/>
    <w:rsid w:val="00D65A0E"/>
    <w:rsid w:val="00D66E90"/>
    <w:rsid w:val="00D765A1"/>
    <w:rsid w:val="00D81439"/>
    <w:rsid w:val="00D81B42"/>
    <w:rsid w:val="00DA0F28"/>
    <w:rsid w:val="00DA6F1A"/>
    <w:rsid w:val="00DB1530"/>
    <w:rsid w:val="00DC4AB6"/>
    <w:rsid w:val="00DC583C"/>
    <w:rsid w:val="00DD0D4A"/>
    <w:rsid w:val="00DD4617"/>
    <w:rsid w:val="00DD46BB"/>
    <w:rsid w:val="00DD4D0A"/>
    <w:rsid w:val="00DD7D6B"/>
    <w:rsid w:val="00DE085E"/>
    <w:rsid w:val="00DE36B5"/>
    <w:rsid w:val="00DF4997"/>
    <w:rsid w:val="00E0042C"/>
    <w:rsid w:val="00E06C16"/>
    <w:rsid w:val="00E12F2A"/>
    <w:rsid w:val="00E133D1"/>
    <w:rsid w:val="00E17FDB"/>
    <w:rsid w:val="00E207AF"/>
    <w:rsid w:val="00E32470"/>
    <w:rsid w:val="00E432DC"/>
    <w:rsid w:val="00E45421"/>
    <w:rsid w:val="00E4679A"/>
    <w:rsid w:val="00E524DC"/>
    <w:rsid w:val="00E543BC"/>
    <w:rsid w:val="00E5763E"/>
    <w:rsid w:val="00E62D06"/>
    <w:rsid w:val="00E636E8"/>
    <w:rsid w:val="00E6403F"/>
    <w:rsid w:val="00E66DA1"/>
    <w:rsid w:val="00E76EF0"/>
    <w:rsid w:val="00E772D5"/>
    <w:rsid w:val="00E805A0"/>
    <w:rsid w:val="00E85E20"/>
    <w:rsid w:val="00E97E89"/>
    <w:rsid w:val="00EA1B7A"/>
    <w:rsid w:val="00EA3041"/>
    <w:rsid w:val="00EB51AA"/>
    <w:rsid w:val="00EC1EEE"/>
    <w:rsid w:val="00EC5671"/>
    <w:rsid w:val="00ED005D"/>
    <w:rsid w:val="00ED291D"/>
    <w:rsid w:val="00ED6DA0"/>
    <w:rsid w:val="00EE128B"/>
    <w:rsid w:val="00EE1740"/>
    <w:rsid w:val="00EE2AEC"/>
    <w:rsid w:val="00EE33EF"/>
    <w:rsid w:val="00EE5C85"/>
    <w:rsid w:val="00EE740F"/>
    <w:rsid w:val="00EF6F65"/>
    <w:rsid w:val="00EF7A34"/>
    <w:rsid w:val="00EF7D25"/>
    <w:rsid w:val="00F14EE9"/>
    <w:rsid w:val="00F17662"/>
    <w:rsid w:val="00F27679"/>
    <w:rsid w:val="00F305DC"/>
    <w:rsid w:val="00F31311"/>
    <w:rsid w:val="00F35627"/>
    <w:rsid w:val="00F4461A"/>
    <w:rsid w:val="00F46092"/>
    <w:rsid w:val="00F5751A"/>
    <w:rsid w:val="00F62810"/>
    <w:rsid w:val="00F64560"/>
    <w:rsid w:val="00F66CCB"/>
    <w:rsid w:val="00F756B4"/>
    <w:rsid w:val="00F76647"/>
    <w:rsid w:val="00F772CC"/>
    <w:rsid w:val="00F81606"/>
    <w:rsid w:val="00F8502A"/>
    <w:rsid w:val="00F856CD"/>
    <w:rsid w:val="00F9096B"/>
    <w:rsid w:val="00F909C9"/>
    <w:rsid w:val="00FA169D"/>
    <w:rsid w:val="00FA33A0"/>
    <w:rsid w:val="00FA3EB3"/>
    <w:rsid w:val="00FB4230"/>
    <w:rsid w:val="00FB4FB4"/>
    <w:rsid w:val="00FC07A0"/>
    <w:rsid w:val="00FC08BC"/>
    <w:rsid w:val="00FC3F42"/>
    <w:rsid w:val="00FD0F2D"/>
    <w:rsid w:val="00FE5656"/>
    <w:rsid w:val="00FE7DF8"/>
    <w:rsid w:val="00FF2673"/>
    <w:rsid w:val="00FF5EFF"/>
    <w:rsid w:val="00FF7AF7"/>
    <w:rsid w:val="09D5E571"/>
    <w:rsid w:val="0F36DD47"/>
    <w:rsid w:val="0F970B77"/>
    <w:rsid w:val="10765C0B"/>
    <w:rsid w:val="1332DBAF"/>
    <w:rsid w:val="14C964D6"/>
    <w:rsid w:val="1861F0B0"/>
    <w:rsid w:val="1BCA03DE"/>
    <w:rsid w:val="213A05FB"/>
    <w:rsid w:val="22D55C59"/>
    <w:rsid w:val="245D084C"/>
    <w:rsid w:val="286FC3EA"/>
    <w:rsid w:val="28E5AE51"/>
    <w:rsid w:val="2A8B13DA"/>
    <w:rsid w:val="2A98BA5C"/>
    <w:rsid w:val="2C9A1BBB"/>
    <w:rsid w:val="355B0F98"/>
    <w:rsid w:val="36900DB4"/>
    <w:rsid w:val="3E847DA6"/>
    <w:rsid w:val="41F5D82B"/>
    <w:rsid w:val="45C3D245"/>
    <w:rsid w:val="473B377D"/>
    <w:rsid w:val="58C71780"/>
    <w:rsid w:val="5BCC1A2B"/>
    <w:rsid w:val="61FC90A8"/>
    <w:rsid w:val="6CE3FC5E"/>
    <w:rsid w:val="6D34F4EE"/>
    <w:rsid w:val="6DC86B4F"/>
    <w:rsid w:val="73396795"/>
    <w:rsid w:val="7731A6EF"/>
    <w:rsid w:val="7BEBC32F"/>
    <w:rsid w:val="7F09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78F09"/>
  <w15:chartTrackingRefBased/>
  <w15:docId w15:val="{EA27D667-1511-4670-B6DB-B0619B4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073"/>
    <w:pPr>
      <w:keepNext/>
      <w:keepLines/>
      <w:suppressAutoHyphens/>
      <w:spacing w:before="600" w:after="240" w:line="216" w:lineRule="auto"/>
      <w:ind w:right="4705"/>
      <w:outlineLvl w:val="0"/>
    </w:pPr>
    <w:rPr>
      <w:rFonts w:eastAsiaTheme="majorEastAsia" w:cs="Times New Roman (Headings CS)"/>
      <w:b/>
      <w:color w:val="5BC2E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4F6073"/>
    <w:rPr>
      <w:rFonts w:ascii="Arial" w:eastAsiaTheme="majorEastAsia" w:hAnsi="Arial" w:cs="Times New Roman (Headings CS)"/>
      <w:b/>
      <w:color w:val="5BC2E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uiPriority w:val="39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EA2D2" w:themeColor="accent1" w:themeShade="BF"/>
    </w:rPr>
    <w:tblPr>
      <w:tblStyleRowBandSize w:val="1"/>
      <w:tblStyleColBandSize w:val="1"/>
      <w:tblBorders>
        <w:top w:val="single" w:sz="4" w:space="0" w:color="5BC2E7" w:themeColor="accent1"/>
        <w:bottom w:val="single" w:sz="4" w:space="0" w:color="5BC2E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2E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2E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A" w:themeFill="accent1" w:themeFillTint="33"/>
      </w:tcPr>
    </w:tblStylePr>
    <w:tblStylePr w:type="band1Horz">
      <w:tblPr/>
      <w:tcPr>
        <w:shd w:val="clear" w:color="auto" w:fill="DEF2FA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2E7" w:themeColor="accent1"/>
          <w:left w:val="single" w:sz="4" w:space="0" w:color="5BC2E7" w:themeColor="accent1"/>
          <w:bottom w:val="single" w:sz="4" w:space="0" w:color="5BC2E7" w:themeColor="accent1"/>
          <w:right w:val="single" w:sz="4" w:space="0" w:color="5BC2E7" w:themeColor="accent1"/>
          <w:insideH w:val="nil"/>
        </w:tcBorders>
        <w:shd w:val="clear" w:color="auto" w:fill="5BC2E7" w:themeFill="accent1"/>
      </w:tcPr>
    </w:tblStylePr>
    <w:tblStylePr w:type="lastRow">
      <w:rPr>
        <w:b/>
        <w:bCs/>
      </w:rPr>
      <w:tblPr/>
      <w:tcPr>
        <w:tcBorders>
          <w:top w:val="double" w:sz="4" w:space="0" w:color="9CDA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uiPriority w:val="1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C71AC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262626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2E7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248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2E7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2E7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AF0" w:themeColor="accent1" w:themeTint="99"/>
        <w:bottom w:val="single" w:sz="4" w:space="0" w:color="9CDAF0" w:themeColor="accent1" w:themeTint="99"/>
        <w:insideH w:val="single" w:sz="4" w:space="0" w:color="9CDA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A" w:themeFill="accent1" w:themeFillTint="33"/>
      </w:tcPr>
    </w:tblStylePr>
    <w:tblStylePr w:type="band1Horz">
      <w:tblPr/>
      <w:tcPr>
        <w:shd w:val="clear" w:color="auto" w:fill="DEF2FA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1ED" w:themeColor="accent1" w:themeTint="BF"/>
        <w:left w:val="single" w:sz="8" w:space="0" w:color="84D1ED" w:themeColor="accent1" w:themeTint="BF"/>
        <w:bottom w:val="single" w:sz="8" w:space="0" w:color="84D1ED" w:themeColor="accent1" w:themeTint="BF"/>
        <w:right w:val="single" w:sz="8" w:space="0" w:color="84D1ED" w:themeColor="accent1" w:themeTint="BF"/>
        <w:insideH w:val="single" w:sz="8" w:space="0" w:color="84D1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1ED" w:themeColor="accent1" w:themeTint="BF"/>
          <w:left w:val="single" w:sz="8" w:space="0" w:color="84D1ED" w:themeColor="accent1" w:themeTint="BF"/>
          <w:bottom w:val="single" w:sz="8" w:space="0" w:color="84D1ED" w:themeColor="accent1" w:themeTint="BF"/>
          <w:right w:val="single" w:sz="8" w:space="0" w:color="84D1ED" w:themeColor="accent1" w:themeTint="BF"/>
          <w:insideH w:val="nil"/>
          <w:insideV w:val="nil"/>
        </w:tcBorders>
        <w:shd w:val="clear" w:color="auto" w:fill="5BC2E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1ED" w:themeColor="accent1" w:themeTint="BF"/>
          <w:left w:val="single" w:sz="8" w:space="0" w:color="84D1ED" w:themeColor="accent1" w:themeTint="BF"/>
          <w:bottom w:val="single" w:sz="8" w:space="0" w:color="84D1ED" w:themeColor="accent1" w:themeTint="BF"/>
          <w:right w:val="single" w:sz="8" w:space="0" w:color="84D1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635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E0D6ED" w:themeColor="accent4" w:themeTint="66"/>
        <w:left w:val="single" w:sz="4" w:space="0" w:color="E0D6ED" w:themeColor="accent4" w:themeTint="66"/>
        <w:bottom w:val="single" w:sz="4" w:space="0" w:color="E0D6ED" w:themeColor="accent4" w:themeTint="66"/>
        <w:right w:val="single" w:sz="4" w:space="0" w:color="E0D6ED" w:themeColor="accent4" w:themeTint="66"/>
        <w:insideH w:val="single" w:sz="4" w:space="0" w:color="E0D6ED" w:themeColor="accent4" w:themeTint="66"/>
        <w:insideV w:val="single" w:sz="4" w:space="0" w:color="E0D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1C2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C2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635CC" w:themeColor="accent2" w:themeTint="99"/>
        <w:bottom w:val="single" w:sz="2" w:space="0" w:color="5635CC" w:themeColor="accent2" w:themeTint="99"/>
        <w:insideH w:val="single" w:sz="2" w:space="0" w:color="5635CC" w:themeColor="accent2" w:themeTint="99"/>
        <w:insideV w:val="single" w:sz="2" w:space="0" w:color="5635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35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35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BEE" w:themeFill="accent2" w:themeFillTint="33"/>
      </w:tcPr>
    </w:tblStylePr>
    <w:tblStylePr w:type="band1Horz">
      <w:tblPr/>
      <w:tcPr>
        <w:shd w:val="clear" w:color="auto" w:fill="C6BBEE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5252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E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E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E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E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6" w:themeFillTint="33"/>
      </w:tcPr>
    </w:tblStylePr>
    <w:tblStylePr w:type="band1Horz">
      <w:tblPr/>
      <w:tcPr>
        <w:shd w:val="clear" w:color="auto" w:fill="E2E2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paragraph" w:styleId="Revision">
    <w:name w:val="Revision"/>
    <w:hidden/>
    <w:uiPriority w:val="99"/>
    <w:semiHidden/>
    <w:rsid w:val="00866AD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108043\Downloads\Form1%20(1).dotx" TargetMode="External"/></Relationships>
</file>

<file path=word/theme/theme1.xml><?xml version="1.0" encoding="utf-8"?>
<a:theme xmlns:a="http://schemas.openxmlformats.org/drawingml/2006/main" name="Victoria University">
  <a:themeElements>
    <a:clrScheme name="VU 2024">
      <a:dk1>
        <a:srgbClr val="000000"/>
      </a:dk1>
      <a:lt1>
        <a:srgbClr val="FFFFFF"/>
      </a:lt1>
      <a:dk2>
        <a:srgbClr val="262626"/>
      </a:dk2>
      <a:lt2>
        <a:srgbClr val="FFFFFF"/>
      </a:lt2>
      <a:accent1>
        <a:srgbClr val="5BC2E7"/>
      </a:accent1>
      <a:accent2>
        <a:srgbClr val="1E1248"/>
      </a:accent2>
      <a:accent3>
        <a:srgbClr val="ED6B5E"/>
      </a:accent3>
      <a:accent4>
        <a:srgbClr val="B39AD2"/>
      </a:accent4>
      <a:accent5>
        <a:srgbClr val="EEEEEE"/>
      </a:accent5>
      <a:accent6>
        <a:srgbClr val="6E6E6E"/>
      </a:accent6>
      <a:hlink>
        <a:srgbClr val="0C71AC"/>
      </a:hlink>
      <a:folHlink>
        <a:srgbClr val="6E6E6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31b79-ff8e-4147-a650-b4470bfabc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545BF65C7B64580D9BE3A7BB2DA26" ma:contentTypeVersion="12" ma:contentTypeDescription="Create a new document." ma:contentTypeScope="" ma:versionID="a687f00f26e26c1b9ee1d5619c0f3a51">
  <xsd:schema xmlns:xsd="http://www.w3.org/2001/XMLSchema" xmlns:xs="http://www.w3.org/2001/XMLSchema" xmlns:p="http://schemas.microsoft.com/office/2006/metadata/properties" xmlns:ns2="dfea21ae-a1f0-4cda-8ca1-623adea04c06" xmlns:ns3="14531b79-ff8e-4147-a650-b4470bfabc2c" targetNamespace="http://schemas.microsoft.com/office/2006/metadata/properties" ma:root="true" ma:fieldsID="dfddb3002d961837fc93453c5e9c8fdb" ns2:_="" ns3:_="">
    <xsd:import namespace="dfea21ae-a1f0-4cda-8ca1-623adea04c06"/>
    <xsd:import namespace="14531b79-ff8e-4147-a650-b4470bfabc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21ae-a1f0-4cda-8ca1-623adea0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1b79-ff8e-4147-a650-b4470bfab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27738-6E7F-487B-A80A-E342B7F4132A}">
  <ds:schemaRefs>
    <ds:schemaRef ds:uri="http://schemas.microsoft.com/office/2006/metadata/properties"/>
    <ds:schemaRef ds:uri="http://schemas.microsoft.com/office/infopath/2007/PartnerControls"/>
    <ds:schemaRef ds:uri="14531b79-ff8e-4147-a650-b4470bfabc2c"/>
  </ds:schemaRefs>
</ds:datastoreItem>
</file>

<file path=customXml/itemProps3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F198D-D418-CE41-AD34-F00536D923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B0E14B-2C45-4809-94D5-D4918E0AB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21ae-a1f0-4cda-8ca1-623adea04c06"/>
    <ds:schemaRef ds:uri="14531b79-ff8e-4147-a650-b4470bfab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 (1).dotx</Template>
  <TotalTime>3</TotalTime>
  <Pages>5</Pages>
  <Words>1588</Words>
  <Characters>9054</Characters>
  <Application>Microsoft Office Word</Application>
  <DocSecurity>0</DocSecurity>
  <Lines>75</Lines>
  <Paragraphs>21</Paragraphs>
  <ScaleCrop>false</ScaleCrop>
  <Company>Victoria University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Kelly Wilson</dc:creator>
  <cp:keywords/>
  <dc:description/>
  <cp:lastModifiedBy>Penelope Steer-Cope</cp:lastModifiedBy>
  <cp:revision>6</cp:revision>
  <cp:lastPrinted>2020-03-03T11:30:00Z</cp:lastPrinted>
  <dcterms:created xsi:type="dcterms:W3CDTF">2024-10-22T05:38:00Z</dcterms:created>
  <dcterms:modified xsi:type="dcterms:W3CDTF">2024-10-22T05:41:00Z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0x010100E5D545BF65C7B64580D9BE3A7BB2DA26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bb64d715-4b35-4dea-b416-d0da7af64757</vt:lpwstr>
  </property>
  <property fmtid="{D5CDD505-2E9C-101B-9397-08002B2CF9AE}" pid="11" name="MediaServiceImageTags">
    <vt:lpwstr/>
  </property>
</Properties>
</file>