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24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75"/>
        <w:gridCol w:w="976"/>
        <w:gridCol w:w="284"/>
        <w:gridCol w:w="2673"/>
        <w:gridCol w:w="2146"/>
        <w:gridCol w:w="812"/>
        <w:gridCol w:w="2874"/>
        <w:gridCol w:w="84"/>
      </w:tblGrid>
      <w:tr w:rsidR="002E2957" w14:paraId="39813035" w14:textId="77777777" w:rsidTr="00EC6BEE">
        <w:tc>
          <w:tcPr>
            <w:tcW w:w="1951" w:type="dxa"/>
            <w:gridSpan w:val="2"/>
          </w:tcPr>
          <w:p w14:paraId="49053C89" w14:textId="77777777" w:rsidR="002E2957" w:rsidRPr="002E2957" w:rsidRDefault="002E2957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bookmarkStart w:id="0" w:name="_GoBack"/>
            <w:bookmarkEnd w:id="0"/>
            <w:r w:rsidRPr="002E2957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Title</w:t>
            </w:r>
          </w:p>
        </w:tc>
        <w:tc>
          <w:tcPr>
            <w:tcW w:w="8873" w:type="dxa"/>
            <w:gridSpan w:val="6"/>
            <w:tcMar>
              <w:top w:w="11" w:type="dxa"/>
              <w:bottom w:w="11" w:type="dxa"/>
            </w:tcMar>
            <w:vAlign w:val="center"/>
          </w:tcPr>
          <w:p w14:paraId="2749899F" w14:textId="77777777" w:rsidR="002E2957" w:rsidRPr="00C074F4" w:rsidRDefault="003179D0" w:rsidP="0069127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Asbestos Containing Materials</w:t>
            </w:r>
          </w:p>
        </w:tc>
      </w:tr>
      <w:tr w:rsidR="002E2957" w14:paraId="15EBB2D7" w14:textId="77777777" w:rsidTr="00EC6BEE">
        <w:tc>
          <w:tcPr>
            <w:tcW w:w="1951" w:type="dxa"/>
            <w:gridSpan w:val="2"/>
          </w:tcPr>
          <w:p w14:paraId="617AA52D" w14:textId="77777777" w:rsidR="002E2957" w:rsidRPr="002E2957" w:rsidRDefault="002E2957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 w:rsidRPr="002E2957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Scope</w:t>
            </w:r>
          </w:p>
        </w:tc>
        <w:tc>
          <w:tcPr>
            <w:tcW w:w="8873" w:type="dxa"/>
            <w:gridSpan w:val="6"/>
            <w:tcMar>
              <w:top w:w="11" w:type="dxa"/>
              <w:bottom w:w="11" w:type="dxa"/>
            </w:tcMar>
            <w:vAlign w:val="center"/>
          </w:tcPr>
          <w:p w14:paraId="027B388D" w14:textId="77777777" w:rsidR="002E2957" w:rsidRPr="00727296" w:rsidRDefault="003179D0" w:rsidP="0069127B">
            <w:pPr>
              <w:rPr>
                <w:rFonts w:ascii="Arial" w:hAnsi="Arial" w:cs="Arial"/>
                <w:szCs w:val="26"/>
              </w:rPr>
            </w:pPr>
            <w:r w:rsidRPr="00727296">
              <w:rPr>
                <w:rFonts w:ascii="Arial" w:hAnsi="Arial" w:cs="Arial"/>
                <w:szCs w:val="26"/>
              </w:rPr>
              <w:t>Applies across all VU Campuses – Buildings Erected Pre 1990</w:t>
            </w:r>
          </w:p>
        </w:tc>
      </w:tr>
      <w:tr w:rsidR="0069127B" w14:paraId="615B86A1" w14:textId="77777777" w:rsidTr="00EC6BEE">
        <w:trPr>
          <w:trHeight w:val="516"/>
        </w:trPr>
        <w:tc>
          <w:tcPr>
            <w:tcW w:w="1951" w:type="dxa"/>
            <w:gridSpan w:val="2"/>
          </w:tcPr>
          <w:p w14:paraId="386706F4" w14:textId="77777777" w:rsidR="0069127B" w:rsidRPr="002E2957" w:rsidRDefault="0069127B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Why</w:t>
            </w:r>
          </w:p>
        </w:tc>
        <w:tc>
          <w:tcPr>
            <w:tcW w:w="8873" w:type="dxa"/>
            <w:gridSpan w:val="6"/>
            <w:tcMar>
              <w:top w:w="11" w:type="dxa"/>
              <w:bottom w:w="11" w:type="dxa"/>
            </w:tcMar>
            <w:vAlign w:val="center"/>
          </w:tcPr>
          <w:p w14:paraId="28CFA917" w14:textId="77777777" w:rsidR="0069127B" w:rsidRPr="00727296" w:rsidRDefault="0069127B" w:rsidP="0069127B">
            <w:pPr>
              <w:rPr>
                <w:rFonts w:ascii="Arial" w:hAnsi="Arial" w:cs="Arial"/>
                <w:color w:val="000000" w:themeColor="text1"/>
                <w:szCs w:val="26"/>
              </w:rPr>
            </w:pPr>
            <w:r w:rsidRPr="00727296">
              <w:rPr>
                <w:rFonts w:ascii="Arial" w:hAnsi="Arial" w:cs="Arial"/>
                <w:color w:val="000000" w:themeColor="text1"/>
                <w:szCs w:val="26"/>
              </w:rPr>
              <w:t xml:space="preserve">Explain health risks and controls for Asbestos Containing Materials </w:t>
            </w:r>
            <w:r>
              <w:rPr>
                <w:rFonts w:ascii="Arial" w:hAnsi="Arial" w:cs="Arial"/>
                <w:color w:val="000000" w:themeColor="text1"/>
                <w:szCs w:val="26"/>
              </w:rPr>
              <w:t>- ACM</w:t>
            </w:r>
          </w:p>
          <w:p w14:paraId="4E1B4CF1" w14:textId="4196B098" w:rsidR="0069127B" w:rsidRPr="00727296" w:rsidRDefault="0069127B" w:rsidP="0069127B">
            <w:pPr>
              <w:rPr>
                <w:rFonts w:ascii="Arial" w:hAnsi="Arial" w:cs="Arial"/>
                <w:color w:val="000000" w:themeColor="text1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The current labels showing asbestos is present are being replaced with new labels. </w:t>
            </w:r>
          </w:p>
        </w:tc>
      </w:tr>
      <w:tr w:rsidR="003179D0" w14:paraId="14667CC5" w14:textId="77777777" w:rsidTr="00EC6BEE">
        <w:trPr>
          <w:trHeight w:val="526"/>
        </w:trPr>
        <w:tc>
          <w:tcPr>
            <w:tcW w:w="1951" w:type="dxa"/>
            <w:gridSpan w:val="2"/>
          </w:tcPr>
          <w:p w14:paraId="05BDDC32" w14:textId="77777777" w:rsidR="003179D0" w:rsidRDefault="003179D0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What</w:t>
            </w:r>
          </w:p>
        </w:tc>
        <w:tc>
          <w:tcPr>
            <w:tcW w:w="8873" w:type="dxa"/>
            <w:gridSpan w:val="6"/>
            <w:tcMar>
              <w:top w:w="11" w:type="dxa"/>
              <w:bottom w:w="11" w:type="dxa"/>
            </w:tcMar>
            <w:vAlign w:val="center"/>
          </w:tcPr>
          <w:p w14:paraId="055168F6" w14:textId="77777777" w:rsidR="003179D0" w:rsidRPr="003179D0" w:rsidRDefault="003179D0" w:rsidP="0069127B">
            <w:pPr>
              <w:rPr>
                <w:rFonts w:ascii="Arial" w:hAnsi="Arial" w:cs="Arial"/>
                <w:sz w:val="28"/>
                <w:szCs w:val="28"/>
              </w:rPr>
            </w:pPr>
            <w:r w:rsidRPr="00727296">
              <w:rPr>
                <w:rFonts w:ascii="Arial" w:hAnsi="Arial" w:cs="Arial"/>
                <w:szCs w:val="28"/>
              </w:rPr>
              <w:t xml:space="preserve">Asbestos is a naturally occurring mineral with excellent insulating properties and strength. Asbestos containing materials are present in many buildings across Australia particularly those erected before 1990. </w:t>
            </w:r>
          </w:p>
        </w:tc>
      </w:tr>
      <w:tr w:rsidR="00325F53" w14:paraId="6DA6B612" w14:textId="77777777" w:rsidTr="00EC6BEE">
        <w:trPr>
          <w:trHeight w:val="390"/>
        </w:trPr>
        <w:tc>
          <w:tcPr>
            <w:tcW w:w="1951" w:type="dxa"/>
            <w:gridSpan w:val="2"/>
            <w:tcMar>
              <w:left w:w="57" w:type="dxa"/>
              <w:right w:w="57" w:type="dxa"/>
            </w:tcMar>
          </w:tcPr>
          <w:p w14:paraId="6651877C" w14:textId="77777777" w:rsidR="00325F53" w:rsidRPr="00C074F4" w:rsidRDefault="00325F53" w:rsidP="00325F53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VU Examples</w:t>
            </w:r>
          </w:p>
        </w:tc>
        <w:tc>
          <w:tcPr>
            <w:tcW w:w="2957" w:type="dxa"/>
            <w:gridSpan w:val="2"/>
            <w:vMerge w:val="restart"/>
            <w:vAlign w:val="center"/>
          </w:tcPr>
          <w:p w14:paraId="1CA343E4" w14:textId="77777777" w:rsidR="00325F53" w:rsidRPr="007922F0" w:rsidRDefault="00325F53" w:rsidP="003D2C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71552" behindDoc="1" locked="0" layoutInCell="1" allowOverlap="1" wp14:anchorId="7629E8FC" wp14:editId="4CB6EF6A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10160</wp:posOffset>
                  </wp:positionV>
                  <wp:extent cx="1815465" cy="1323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8" w:type="dxa"/>
            <w:gridSpan w:val="2"/>
            <w:vMerge w:val="restart"/>
          </w:tcPr>
          <w:p w14:paraId="1C6B92F6" w14:textId="77777777" w:rsidR="00325F53" w:rsidRDefault="00325F53" w:rsidP="00700CEB">
            <w:pPr>
              <w:pStyle w:val="ListParagraph"/>
              <w:ind w:left="0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73600" behindDoc="1" locked="0" layoutInCell="1" allowOverlap="1" wp14:anchorId="521814D0" wp14:editId="00E3525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47767</wp:posOffset>
                  </wp:positionV>
                  <wp:extent cx="1765514" cy="1323833"/>
                  <wp:effectExtent l="0" t="0" r="6350" b="0"/>
                  <wp:wrapNone/>
                  <wp:docPr id="4" name="Picture 4" descr="X:\Asbestos Photos\20150630_163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Asbestos Photos\20150630_163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514" cy="132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8" w:type="dxa"/>
            <w:gridSpan w:val="2"/>
            <w:vMerge w:val="restart"/>
            <w:vAlign w:val="center"/>
          </w:tcPr>
          <w:p w14:paraId="0221AF7E" w14:textId="77777777" w:rsidR="00325F53" w:rsidRPr="00E25BA1" w:rsidRDefault="00325F53" w:rsidP="00196A4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val="single"/>
                <w:lang w:eastAsia="en-AU"/>
              </w:rPr>
              <w:drawing>
                <wp:anchor distT="0" distB="0" distL="114300" distR="114300" simplePos="0" relativeHeight="251672576" behindDoc="1" locked="0" layoutInCell="1" allowOverlap="1" wp14:anchorId="2BD9D6B4" wp14:editId="5F0E72BC">
                  <wp:simplePos x="0" y="0"/>
                  <wp:positionH relativeFrom="column">
                    <wp:posOffset>2540</wp:posOffset>
                  </wp:positionH>
                  <wp:positionV relativeFrom="line">
                    <wp:posOffset>-36195</wp:posOffset>
                  </wp:positionV>
                  <wp:extent cx="1738630" cy="1324610"/>
                  <wp:effectExtent l="0" t="0" r="0" b="889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5F53" w14:paraId="5D48CF5C" w14:textId="77777777" w:rsidTr="00EC6BEE">
        <w:trPr>
          <w:trHeight w:val="800"/>
        </w:trPr>
        <w:tc>
          <w:tcPr>
            <w:tcW w:w="975" w:type="dxa"/>
            <w:tcMar>
              <w:left w:w="6" w:type="dxa"/>
              <w:right w:w="6" w:type="dxa"/>
            </w:tcMar>
          </w:tcPr>
          <w:p w14:paraId="4249D655" w14:textId="77777777" w:rsidR="00325F53" w:rsidRPr="00325F53" w:rsidRDefault="00325F53" w:rsidP="00325F53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59020942" wp14:editId="3E2A207D">
                  <wp:extent cx="450376" cy="877589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M labe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55" cy="88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dxa"/>
            <w:tcMar>
              <w:left w:w="6" w:type="dxa"/>
              <w:right w:w="6" w:type="dxa"/>
            </w:tcMar>
          </w:tcPr>
          <w:p w14:paraId="2959D8C3" w14:textId="77777777" w:rsidR="00325F53" w:rsidRPr="00325F53" w:rsidRDefault="00325F53" w:rsidP="00325F53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</w:pPr>
            <w:r>
              <w:object w:dxaOrig="4699" w:dyaOrig="5834" w14:anchorId="3D0C30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6.25pt" o:ole="">
                  <v:imagedata r:id="rId16" o:title=""/>
                </v:shape>
                <o:OLEObject Type="Embed" ProgID="Visio.Drawing.11" ShapeID="_x0000_i1025" DrawAspect="Content" ObjectID="_1643089253" r:id="rId17"/>
              </w:object>
            </w:r>
          </w:p>
        </w:tc>
        <w:tc>
          <w:tcPr>
            <w:tcW w:w="2957" w:type="dxa"/>
            <w:gridSpan w:val="2"/>
            <w:vMerge/>
            <w:vAlign w:val="center"/>
          </w:tcPr>
          <w:p w14:paraId="7BB0784C" w14:textId="77777777" w:rsidR="00325F53" w:rsidRDefault="00325F53" w:rsidP="003D2C37">
            <w:pPr>
              <w:rPr>
                <w:noProof/>
                <w:lang w:eastAsia="en-AU"/>
              </w:rPr>
            </w:pPr>
          </w:p>
        </w:tc>
        <w:tc>
          <w:tcPr>
            <w:tcW w:w="2958" w:type="dxa"/>
            <w:gridSpan w:val="2"/>
            <w:vMerge/>
          </w:tcPr>
          <w:p w14:paraId="40823518" w14:textId="77777777" w:rsidR="00325F53" w:rsidRDefault="00325F53" w:rsidP="00700CEB">
            <w:pPr>
              <w:pStyle w:val="ListParagraph"/>
              <w:ind w:left="0"/>
              <w:rPr>
                <w:noProof/>
                <w:lang w:eastAsia="en-AU"/>
              </w:rPr>
            </w:pPr>
          </w:p>
        </w:tc>
        <w:tc>
          <w:tcPr>
            <w:tcW w:w="2958" w:type="dxa"/>
            <w:gridSpan w:val="2"/>
            <w:vMerge/>
            <w:vAlign w:val="center"/>
          </w:tcPr>
          <w:p w14:paraId="6B144AA3" w14:textId="77777777" w:rsidR="00325F53" w:rsidRDefault="00325F53" w:rsidP="00196A4D">
            <w:pPr>
              <w:rPr>
                <w:rFonts w:ascii="Arial" w:hAnsi="Arial" w:cs="Arial"/>
                <w:noProof/>
                <w:sz w:val="28"/>
                <w:szCs w:val="28"/>
                <w:u w:val="single"/>
                <w:lang w:eastAsia="en-AU"/>
              </w:rPr>
            </w:pPr>
          </w:p>
        </w:tc>
      </w:tr>
      <w:tr w:rsidR="00325F53" w14:paraId="7D95202D" w14:textId="77777777" w:rsidTr="00EC6BEE">
        <w:trPr>
          <w:trHeight w:val="584"/>
        </w:trPr>
        <w:tc>
          <w:tcPr>
            <w:tcW w:w="975" w:type="dxa"/>
            <w:tcMar>
              <w:left w:w="6" w:type="dxa"/>
              <w:right w:w="6" w:type="dxa"/>
            </w:tcMar>
          </w:tcPr>
          <w:p w14:paraId="402CC035" w14:textId="77777777" w:rsidR="00325F53" w:rsidRPr="00325F53" w:rsidRDefault="00325F53" w:rsidP="00325F53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</w:pPr>
            <w:r w:rsidRPr="00325F53"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  <w:t>Old Label</w:t>
            </w:r>
          </w:p>
        </w:tc>
        <w:tc>
          <w:tcPr>
            <w:tcW w:w="976" w:type="dxa"/>
            <w:tcMar>
              <w:left w:w="6" w:type="dxa"/>
              <w:right w:w="6" w:type="dxa"/>
            </w:tcMar>
          </w:tcPr>
          <w:p w14:paraId="0ED0643C" w14:textId="77777777" w:rsidR="00325F53" w:rsidRPr="00325F53" w:rsidRDefault="00325F53" w:rsidP="00325F53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</w:pPr>
            <w:r w:rsidRPr="00325F53"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  <w:t>New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  <w:t xml:space="preserve"> </w:t>
            </w:r>
            <w:r w:rsidRPr="00325F53">
              <w:rPr>
                <w:rFonts w:ascii="Arial" w:hAnsi="Arial" w:cs="Arial"/>
                <w:b/>
                <w:color w:val="365F91" w:themeColor="accent1" w:themeShade="BF"/>
                <w:sz w:val="18"/>
                <w:szCs w:val="28"/>
              </w:rPr>
              <w:t>Label</w:t>
            </w:r>
          </w:p>
        </w:tc>
        <w:tc>
          <w:tcPr>
            <w:tcW w:w="2957" w:type="dxa"/>
            <w:gridSpan w:val="2"/>
            <w:vMerge/>
            <w:vAlign w:val="center"/>
          </w:tcPr>
          <w:p w14:paraId="69B2F41E" w14:textId="77777777" w:rsidR="00325F53" w:rsidRDefault="00325F53" w:rsidP="003D2C37">
            <w:pPr>
              <w:rPr>
                <w:noProof/>
                <w:lang w:eastAsia="en-AU"/>
              </w:rPr>
            </w:pPr>
          </w:p>
        </w:tc>
        <w:tc>
          <w:tcPr>
            <w:tcW w:w="2958" w:type="dxa"/>
            <w:gridSpan w:val="2"/>
            <w:vMerge/>
          </w:tcPr>
          <w:p w14:paraId="083D09C3" w14:textId="77777777" w:rsidR="00325F53" w:rsidRDefault="00325F53" w:rsidP="00700CEB">
            <w:pPr>
              <w:pStyle w:val="ListParagraph"/>
              <w:ind w:left="0"/>
              <w:rPr>
                <w:noProof/>
                <w:lang w:eastAsia="en-AU"/>
              </w:rPr>
            </w:pPr>
          </w:p>
        </w:tc>
        <w:tc>
          <w:tcPr>
            <w:tcW w:w="2958" w:type="dxa"/>
            <w:gridSpan w:val="2"/>
            <w:vMerge/>
            <w:vAlign w:val="center"/>
          </w:tcPr>
          <w:p w14:paraId="798A1E42" w14:textId="77777777" w:rsidR="00325F53" w:rsidRDefault="00325F53" w:rsidP="00196A4D">
            <w:pPr>
              <w:rPr>
                <w:rFonts w:ascii="Arial" w:hAnsi="Arial" w:cs="Arial"/>
                <w:noProof/>
                <w:sz w:val="28"/>
                <w:szCs w:val="28"/>
                <w:u w:val="single"/>
                <w:lang w:eastAsia="en-AU"/>
              </w:rPr>
            </w:pPr>
          </w:p>
        </w:tc>
      </w:tr>
      <w:tr w:rsidR="003179D0" w14:paraId="5D771292" w14:textId="77777777" w:rsidTr="00EC6BEE">
        <w:trPr>
          <w:trHeight w:val="703"/>
        </w:trPr>
        <w:tc>
          <w:tcPr>
            <w:tcW w:w="1951" w:type="dxa"/>
            <w:gridSpan w:val="2"/>
          </w:tcPr>
          <w:p w14:paraId="1D3653BC" w14:textId="77777777" w:rsidR="003179D0" w:rsidRDefault="00727296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Photos</w:t>
            </w:r>
          </w:p>
        </w:tc>
        <w:tc>
          <w:tcPr>
            <w:tcW w:w="2957" w:type="dxa"/>
            <w:gridSpan w:val="2"/>
            <w:vAlign w:val="center"/>
          </w:tcPr>
          <w:p w14:paraId="645D5A68" w14:textId="77777777" w:rsidR="003179D0" w:rsidRPr="003179D0" w:rsidRDefault="003179D0" w:rsidP="006F335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Fig 1: Old </w:t>
            </w:r>
            <w:r w:rsidRPr="003179D0">
              <w:rPr>
                <w:rFonts w:ascii="Arial" w:hAnsi="Arial" w:cs="Arial"/>
                <w:i/>
              </w:rPr>
              <w:t>Cement Sheeting</w:t>
            </w:r>
            <w:r w:rsidR="003D2C37">
              <w:rPr>
                <w:rFonts w:ascii="Arial" w:hAnsi="Arial" w:cs="Arial"/>
                <w:i/>
              </w:rPr>
              <w:t xml:space="preserve"> in panels or walls. </w:t>
            </w:r>
          </w:p>
        </w:tc>
        <w:tc>
          <w:tcPr>
            <w:tcW w:w="2958" w:type="dxa"/>
            <w:gridSpan w:val="2"/>
            <w:vAlign w:val="center"/>
          </w:tcPr>
          <w:p w14:paraId="12C7F4E7" w14:textId="77777777" w:rsidR="003179D0" w:rsidRPr="003179D0" w:rsidRDefault="003179D0" w:rsidP="006F3357">
            <w:pPr>
              <w:pStyle w:val="ListParagraph"/>
              <w:ind w:left="0"/>
              <w:rPr>
                <w:rFonts w:ascii="Arial" w:hAnsi="Arial" w:cs="Arial"/>
                <w:i/>
                <w:noProof/>
                <w:lang w:eastAsia="en-AU"/>
              </w:rPr>
            </w:pPr>
            <w:r>
              <w:rPr>
                <w:rFonts w:ascii="Arial" w:hAnsi="Arial" w:cs="Arial"/>
                <w:i/>
                <w:noProof/>
                <w:lang w:eastAsia="en-AU"/>
              </w:rPr>
              <w:t xml:space="preserve">Fig 2: </w:t>
            </w:r>
            <w:r w:rsidRPr="003179D0">
              <w:rPr>
                <w:rFonts w:ascii="Arial" w:hAnsi="Arial" w:cs="Arial"/>
                <w:i/>
                <w:noProof/>
                <w:lang w:eastAsia="en-AU"/>
              </w:rPr>
              <w:t>Vinyl floor tiles or glue beneath tiles</w:t>
            </w:r>
          </w:p>
        </w:tc>
        <w:tc>
          <w:tcPr>
            <w:tcW w:w="2958" w:type="dxa"/>
            <w:gridSpan w:val="2"/>
            <w:vAlign w:val="center"/>
          </w:tcPr>
          <w:p w14:paraId="4A33775B" w14:textId="77777777" w:rsidR="003179D0" w:rsidRPr="003179D0" w:rsidRDefault="003179D0" w:rsidP="006F335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Fig 3. </w:t>
            </w:r>
            <w:r w:rsidRPr="003179D0">
              <w:rPr>
                <w:rFonts w:ascii="Arial" w:hAnsi="Arial" w:cs="Arial"/>
                <w:i/>
              </w:rPr>
              <w:t>Fire Doors</w:t>
            </w:r>
            <w:r>
              <w:rPr>
                <w:rFonts w:ascii="Arial" w:hAnsi="Arial" w:cs="Arial"/>
                <w:i/>
              </w:rPr>
              <w:t xml:space="preserve"> with inside core containing asbestos</w:t>
            </w:r>
          </w:p>
        </w:tc>
      </w:tr>
      <w:tr w:rsidR="00D34FB7" w14:paraId="4A17B934" w14:textId="77777777" w:rsidTr="00EC6BEE">
        <w:trPr>
          <w:trHeight w:val="526"/>
        </w:trPr>
        <w:tc>
          <w:tcPr>
            <w:tcW w:w="1951" w:type="dxa"/>
            <w:gridSpan w:val="2"/>
          </w:tcPr>
          <w:p w14:paraId="16C116A2" w14:textId="4359268A" w:rsidR="00D34FB7" w:rsidRDefault="00D34FB7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Most Risk</w:t>
            </w:r>
          </w:p>
        </w:tc>
        <w:tc>
          <w:tcPr>
            <w:tcW w:w="8873" w:type="dxa"/>
            <w:gridSpan w:val="6"/>
          </w:tcPr>
          <w:p w14:paraId="7C269DC0" w14:textId="293993C6" w:rsidR="00D34FB7" w:rsidRPr="00727296" w:rsidRDefault="00D34FB7" w:rsidP="00ED10EE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Asbestos fibres present health risks when </w:t>
            </w:r>
            <w:r w:rsidR="00FC2A22">
              <w:rPr>
                <w:noProof/>
                <w:sz w:val="25"/>
                <w:szCs w:val="25"/>
                <w:lang w:eastAsia="en-AU"/>
              </w:rPr>
              <w:t xml:space="preserve">abestos 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fibres become airborne and are inhaled. </w:t>
            </w:r>
          </w:p>
          <w:p w14:paraId="088DFC61" w14:textId="4AEBF4CB" w:rsidR="00D34FB7" w:rsidRDefault="00D34FB7" w:rsidP="00FC2A22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>Where asbestos is bound in a matrix</w:t>
            </w:r>
            <w:r w:rsidR="00FC2A22">
              <w:rPr>
                <w:noProof/>
                <w:sz w:val="25"/>
                <w:szCs w:val="25"/>
                <w:lang w:eastAsia="en-AU"/>
              </w:rPr>
              <w:t>,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 </w:t>
            </w:r>
            <w:r>
              <w:rPr>
                <w:noProof/>
                <w:sz w:val="25"/>
                <w:szCs w:val="25"/>
                <w:lang w:eastAsia="en-AU"/>
              </w:rPr>
              <w:t>for example asbestos within vinyl</w:t>
            </w:r>
            <w:r w:rsidR="00FC2A22">
              <w:rPr>
                <w:noProof/>
                <w:sz w:val="25"/>
                <w:szCs w:val="25"/>
                <w:lang w:eastAsia="en-AU"/>
              </w:rPr>
              <w:t xml:space="preserve"> floor</w:t>
            </w:r>
            <w:r>
              <w:rPr>
                <w:noProof/>
                <w:sz w:val="25"/>
                <w:szCs w:val="25"/>
                <w:lang w:eastAsia="en-AU"/>
              </w:rPr>
              <w:t xml:space="preserve"> tiles, </w:t>
            </w:r>
            <w:r w:rsidRPr="00727296">
              <w:rPr>
                <w:noProof/>
                <w:sz w:val="25"/>
                <w:szCs w:val="25"/>
                <w:lang w:eastAsia="en-AU"/>
              </w:rPr>
              <w:t>painted and undamaged cement sheeting</w:t>
            </w:r>
            <w:r w:rsidR="00FC2A22">
              <w:rPr>
                <w:noProof/>
                <w:sz w:val="25"/>
                <w:szCs w:val="25"/>
                <w:lang w:eastAsia="en-AU"/>
              </w:rPr>
              <w:t>, tile</w:t>
            </w:r>
            <w:r>
              <w:rPr>
                <w:noProof/>
                <w:sz w:val="25"/>
                <w:szCs w:val="25"/>
                <w:lang w:eastAsia="en-AU"/>
              </w:rPr>
              <w:t xml:space="preserve"> glue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, or sealed inside </w:t>
            </w:r>
            <w:r>
              <w:rPr>
                <w:noProof/>
                <w:sz w:val="25"/>
                <w:szCs w:val="25"/>
                <w:lang w:eastAsia="en-AU"/>
              </w:rPr>
              <w:t xml:space="preserve">fire </w:t>
            </w:r>
            <w:r w:rsidRPr="00727296">
              <w:rPr>
                <w:noProof/>
                <w:sz w:val="25"/>
                <w:szCs w:val="25"/>
                <w:lang w:eastAsia="en-AU"/>
              </w:rPr>
              <w:t>doors, the contained asbestos poses practically no risk</w:t>
            </w:r>
            <w:r>
              <w:rPr>
                <w:noProof/>
                <w:sz w:val="25"/>
                <w:szCs w:val="25"/>
                <w:lang w:eastAsia="en-AU"/>
              </w:rPr>
              <w:t xml:space="preserve"> </w:t>
            </w:r>
            <w:r w:rsidR="00FC2A22">
              <w:rPr>
                <w:noProof/>
                <w:sz w:val="25"/>
                <w:szCs w:val="25"/>
                <w:lang w:eastAsia="en-AU"/>
              </w:rPr>
              <w:t xml:space="preserve">as it cannot be inhaled. </w:t>
            </w:r>
          </w:p>
        </w:tc>
      </w:tr>
      <w:tr w:rsidR="00D34FB7" w14:paraId="34F885E5" w14:textId="77777777" w:rsidTr="00EC6BEE">
        <w:trPr>
          <w:trHeight w:val="526"/>
        </w:trPr>
        <w:tc>
          <w:tcPr>
            <w:tcW w:w="1951" w:type="dxa"/>
            <w:gridSpan w:val="2"/>
          </w:tcPr>
          <w:p w14:paraId="4D69445F" w14:textId="6F92B78B" w:rsidR="00D34FB7" w:rsidRDefault="00D34FB7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Victoria University</w:t>
            </w:r>
          </w:p>
        </w:tc>
        <w:tc>
          <w:tcPr>
            <w:tcW w:w="8873" w:type="dxa"/>
            <w:gridSpan w:val="6"/>
          </w:tcPr>
          <w:p w14:paraId="1F0607DD" w14:textId="1EC8A10B" w:rsidR="00D34FB7" w:rsidRDefault="00D34FB7" w:rsidP="00D34FB7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>
              <w:rPr>
                <w:noProof/>
                <w:sz w:val="25"/>
                <w:szCs w:val="25"/>
                <w:lang w:eastAsia="en-AU"/>
              </w:rPr>
              <w:t xml:space="preserve">Labels are present to indicate the locations of materials containing </w:t>
            </w:r>
            <w:r w:rsidR="00FC2A22">
              <w:rPr>
                <w:noProof/>
                <w:sz w:val="25"/>
                <w:szCs w:val="25"/>
                <w:lang w:eastAsia="en-AU"/>
              </w:rPr>
              <w:t>asbestos</w:t>
            </w:r>
            <w:r>
              <w:rPr>
                <w:noProof/>
                <w:sz w:val="25"/>
                <w:szCs w:val="25"/>
                <w:lang w:eastAsia="en-AU"/>
              </w:rPr>
              <w:t xml:space="preserve"> to </w:t>
            </w:r>
            <w:r w:rsidR="0069127B">
              <w:rPr>
                <w:noProof/>
                <w:sz w:val="25"/>
                <w:szCs w:val="25"/>
                <w:lang w:eastAsia="en-AU"/>
              </w:rPr>
              <w:t xml:space="preserve">everyone and to </w:t>
            </w:r>
            <w:r>
              <w:rPr>
                <w:noProof/>
                <w:sz w:val="25"/>
                <w:szCs w:val="25"/>
                <w:lang w:eastAsia="en-AU"/>
              </w:rPr>
              <w:t>minimise the risk</w:t>
            </w:r>
            <w:r w:rsidR="00FC2A22">
              <w:rPr>
                <w:noProof/>
                <w:sz w:val="25"/>
                <w:szCs w:val="25"/>
                <w:lang w:eastAsia="en-AU"/>
              </w:rPr>
              <w:t>s</w:t>
            </w:r>
            <w:r>
              <w:rPr>
                <w:noProof/>
                <w:sz w:val="25"/>
                <w:szCs w:val="25"/>
                <w:lang w:eastAsia="en-AU"/>
              </w:rPr>
              <w:t xml:space="preserve"> of disturbance by drilling </w:t>
            </w:r>
            <w:r w:rsidR="00FC2A22">
              <w:rPr>
                <w:noProof/>
                <w:sz w:val="25"/>
                <w:szCs w:val="25"/>
                <w:lang w:eastAsia="en-AU"/>
              </w:rPr>
              <w:t xml:space="preserve">and other maintenance. </w:t>
            </w:r>
          </w:p>
          <w:p w14:paraId="5A70D06B" w14:textId="2FA60AEC" w:rsidR="00D34FB7" w:rsidRPr="00727296" w:rsidRDefault="00D34FB7" w:rsidP="006F3357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All Victoria University buildings have been audited by consultants and </w:t>
            </w:r>
            <w:r w:rsidR="0069127B">
              <w:rPr>
                <w:noProof/>
                <w:sz w:val="25"/>
                <w:szCs w:val="25"/>
                <w:lang w:eastAsia="en-AU"/>
              </w:rPr>
              <w:t>registers of asbestos containing m</w:t>
            </w:r>
            <w:r w:rsidR="006F3357" w:rsidRPr="006F3357">
              <w:rPr>
                <w:noProof/>
                <w:sz w:val="25"/>
                <w:szCs w:val="25"/>
                <w:lang w:eastAsia="en-AU"/>
              </w:rPr>
              <w:t>aterials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 have been </w:t>
            </w:r>
            <w:r w:rsidR="00BE36B0">
              <w:rPr>
                <w:noProof/>
                <w:sz w:val="25"/>
                <w:szCs w:val="25"/>
                <w:lang w:eastAsia="en-AU"/>
              </w:rPr>
              <w:t>compil</w:t>
            </w:r>
            <w:r w:rsidR="006F3357">
              <w:rPr>
                <w:noProof/>
                <w:sz w:val="25"/>
                <w:szCs w:val="25"/>
                <w:lang w:eastAsia="en-AU"/>
              </w:rPr>
              <w:t>ed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 for every building at every </w:t>
            </w:r>
            <w:r w:rsidR="006F3357">
              <w:rPr>
                <w:noProof/>
                <w:sz w:val="25"/>
                <w:szCs w:val="25"/>
                <w:lang w:eastAsia="en-AU"/>
              </w:rPr>
              <w:t xml:space="preserve">VU 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campus. </w:t>
            </w:r>
            <w:r>
              <w:rPr>
                <w:noProof/>
                <w:sz w:val="25"/>
                <w:szCs w:val="25"/>
                <w:lang w:eastAsia="en-AU"/>
              </w:rPr>
              <w:t>These can be accessed by any staff member via the Intranet.</w:t>
            </w:r>
          </w:p>
        </w:tc>
      </w:tr>
      <w:tr w:rsidR="00D34FB7" w14:paraId="37228EB5" w14:textId="77777777" w:rsidTr="00EC6BEE">
        <w:trPr>
          <w:trHeight w:val="526"/>
        </w:trPr>
        <w:tc>
          <w:tcPr>
            <w:tcW w:w="1951" w:type="dxa"/>
            <w:gridSpan w:val="2"/>
          </w:tcPr>
          <w:p w14:paraId="09FC538F" w14:textId="77777777" w:rsidR="00D34FB7" w:rsidRDefault="00D34FB7" w:rsidP="00C074F4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Health Risks</w:t>
            </w:r>
          </w:p>
        </w:tc>
        <w:tc>
          <w:tcPr>
            <w:tcW w:w="8873" w:type="dxa"/>
            <w:gridSpan w:val="6"/>
            <w:vAlign w:val="center"/>
          </w:tcPr>
          <w:p w14:paraId="72DCB2D3" w14:textId="77777777" w:rsidR="00D34FB7" w:rsidRPr="00727296" w:rsidRDefault="00D34FB7" w:rsidP="00D93274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Frequent inhalation of higher concentrations of asbestos fibres can cause asbestosis – scarring of the lungs or mesothilioma – cancer of the lung external lining or </w:t>
            </w:r>
          </w:p>
          <w:p w14:paraId="726D39DB" w14:textId="07DF5B92" w:rsidR="00D34FB7" w:rsidRPr="00727296" w:rsidRDefault="00D34FB7" w:rsidP="00727296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lung cancer. Due to the previous prevelance of asbestos in older building materials, car </w:t>
            </w:r>
            <w:r>
              <w:rPr>
                <w:noProof/>
                <w:sz w:val="25"/>
                <w:szCs w:val="25"/>
                <w:lang w:eastAsia="en-AU"/>
              </w:rPr>
              <w:t>br</w:t>
            </w:r>
            <w:r w:rsidRPr="00727296">
              <w:rPr>
                <w:noProof/>
                <w:sz w:val="25"/>
                <w:szCs w:val="25"/>
                <w:lang w:eastAsia="en-AU"/>
              </w:rPr>
              <w:t>ak</w:t>
            </w:r>
            <w:r>
              <w:rPr>
                <w:noProof/>
                <w:sz w:val="25"/>
                <w:szCs w:val="25"/>
                <w:lang w:eastAsia="en-AU"/>
              </w:rPr>
              <w:t>e</w:t>
            </w:r>
            <w:r w:rsidRPr="00727296">
              <w:rPr>
                <w:noProof/>
                <w:sz w:val="25"/>
                <w:szCs w:val="25"/>
                <w:lang w:eastAsia="en-AU"/>
              </w:rPr>
              <w:t xml:space="preserve">s, and insulating materials, most people have some asbestos fibres in their lungs with no health impact. </w:t>
            </w:r>
          </w:p>
        </w:tc>
      </w:tr>
      <w:tr w:rsidR="00D34FB7" w14:paraId="5CC386CD" w14:textId="77777777" w:rsidTr="00EC6BEE">
        <w:trPr>
          <w:trHeight w:val="2410"/>
        </w:trPr>
        <w:tc>
          <w:tcPr>
            <w:tcW w:w="1951" w:type="dxa"/>
            <w:gridSpan w:val="2"/>
          </w:tcPr>
          <w:p w14:paraId="0692F422" w14:textId="77777777" w:rsidR="00D34FB7" w:rsidRDefault="00D34FB7" w:rsidP="00973CF9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>Regulations</w:t>
            </w:r>
          </w:p>
        </w:tc>
        <w:tc>
          <w:tcPr>
            <w:tcW w:w="8873" w:type="dxa"/>
            <w:gridSpan w:val="6"/>
          </w:tcPr>
          <w:p w14:paraId="48B54C4E" w14:textId="77777777" w:rsidR="00D34FB7" w:rsidRPr="00727296" w:rsidRDefault="00D34FB7" w:rsidP="003179D0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The Victorian Government has consistently applied very stringent regulations and controls around managment of asbestos containing materials. These include:- </w:t>
            </w:r>
          </w:p>
          <w:p w14:paraId="19A656B6" w14:textId="77777777" w:rsidR="00D34FB7" w:rsidRPr="00727296" w:rsidRDefault="00D34FB7" w:rsidP="003179D0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>1. Identification within buildings and main plant of all the locations which contain or may contain asbestos. These results are recorded in Asbestos Registers.</w:t>
            </w:r>
          </w:p>
          <w:p w14:paraId="01C8C301" w14:textId="77777777" w:rsidR="00D34FB7" w:rsidRPr="00727296" w:rsidRDefault="00D34FB7" w:rsidP="003179D0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2. Strict controls where airborne asbestos fibres may be generated. This  is primarly during asbestos removal operations or where materials have deteriorated. </w:t>
            </w:r>
          </w:p>
          <w:p w14:paraId="10D9D419" w14:textId="77777777" w:rsidR="00D34FB7" w:rsidRPr="00727296" w:rsidRDefault="00D34FB7" w:rsidP="003179D0">
            <w:pPr>
              <w:pStyle w:val="ListParagraph"/>
              <w:ind w:left="0"/>
              <w:rPr>
                <w:noProof/>
                <w:sz w:val="25"/>
                <w:szCs w:val="25"/>
                <w:lang w:eastAsia="en-AU"/>
              </w:rPr>
            </w:pPr>
            <w:r w:rsidRPr="00727296">
              <w:rPr>
                <w:noProof/>
                <w:sz w:val="25"/>
                <w:szCs w:val="25"/>
                <w:lang w:eastAsia="en-AU"/>
              </w:rPr>
              <w:t xml:space="preserve">3.  Removal or containment of any asbestos containing material where the fibers can become airborne. </w:t>
            </w:r>
          </w:p>
        </w:tc>
      </w:tr>
      <w:tr w:rsidR="00D34FB7" w14:paraId="456F0818" w14:textId="77777777" w:rsidTr="00EC6BEE">
        <w:trPr>
          <w:trHeight w:val="408"/>
        </w:trPr>
        <w:tc>
          <w:tcPr>
            <w:tcW w:w="1951" w:type="dxa"/>
            <w:gridSpan w:val="2"/>
          </w:tcPr>
          <w:p w14:paraId="776D0B0F" w14:textId="77777777" w:rsidR="00D34FB7" w:rsidRDefault="00D34FB7" w:rsidP="00973CF9">
            <w:pPr>
              <w:jc w:val="right"/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t xml:space="preserve">Registers </w:t>
            </w:r>
          </w:p>
        </w:tc>
        <w:tc>
          <w:tcPr>
            <w:tcW w:w="8873" w:type="dxa"/>
            <w:gridSpan w:val="6"/>
          </w:tcPr>
          <w:p w14:paraId="764F2F6C" w14:textId="6D32F43F" w:rsidR="00D34FB7" w:rsidRPr="00973CF9" w:rsidRDefault="00D97C1D" w:rsidP="00C074F4">
            <w:pPr>
              <w:pStyle w:val="ListParagraph"/>
              <w:ind w:left="0"/>
              <w:rPr>
                <w:noProof/>
                <w:sz w:val="24"/>
                <w:lang w:eastAsia="en-AU"/>
              </w:rPr>
            </w:pPr>
            <w:hyperlink r:id="rId18" w:history="1">
              <w:r w:rsidR="00D34FB7" w:rsidRPr="00535034">
                <w:rPr>
                  <w:rStyle w:val="Hyperlink"/>
                  <w:noProof/>
                  <w:sz w:val="24"/>
                  <w:lang w:eastAsia="en-AU"/>
                </w:rPr>
                <w:t>Asbestos Registers</w:t>
              </w:r>
            </w:hyperlink>
            <w:r w:rsidR="00D34FB7">
              <w:rPr>
                <w:noProof/>
                <w:sz w:val="24"/>
                <w:lang w:eastAsia="en-AU"/>
              </w:rPr>
              <w:t xml:space="preserve">  - Access by all VU Staff</w:t>
            </w:r>
            <w:r w:rsidR="006F3357">
              <w:rPr>
                <w:noProof/>
                <w:sz w:val="24"/>
                <w:lang w:eastAsia="en-AU"/>
              </w:rPr>
              <w:t xml:space="preserve">  </w:t>
            </w:r>
            <w:hyperlink r:id="rId19" w:history="1">
              <w:r w:rsidR="006F3357" w:rsidRPr="006F3357">
                <w:rPr>
                  <w:rStyle w:val="Hyperlink"/>
                  <w:noProof/>
                  <w:sz w:val="24"/>
                  <w:lang w:eastAsia="en-AU"/>
                </w:rPr>
                <w:t>HSW Abestos Mangement Procedure</w:t>
              </w:r>
            </w:hyperlink>
          </w:p>
        </w:tc>
      </w:tr>
      <w:tr w:rsidR="00D34FB7" w14:paraId="335DA07B" w14:textId="77777777" w:rsidTr="00EC6BEE">
        <w:trPr>
          <w:gridAfter w:val="1"/>
          <w:wAfter w:w="84" w:type="dxa"/>
        </w:trPr>
        <w:tc>
          <w:tcPr>
            <w:tcW w:w="7054" w:type="dxa"/>
            <w:gridSpan w:val="5"/>
          </w:tcPr>
          <w:p w14:paraId="63C66673" w14:textId="77777777" w:rsidR="00D34FB7" w:rsidRPr="00912141" w:rsidRDefault="00D34FB7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Contacts for further Information </w:t>
            </w:r>
          </w:p>
        </w:tc>
        <w:tc>
          <w:tcPr>
            <w:tcW w:w="3686" w:type="dxa"/>
            <w:gridSpan w:val="2"/>
            <w:vAlign w:val="center"/>
          </w:tcPr>
          <w:p w14:paraId="783A46BE" w14:textId="517A7C32" w:rsidR="00D34FB7" w:rsidRPr="00912141" w:rsidRDefault="00D34FB7" w:rsidP="00EC6BE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91214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P &amp; C Assist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5999</w:t>
            </w:r>
          </w:p>
        </w:tc>
      </w:tr>
      <w:tr w:rsidR="00D34FB7" w14:paraId="3F4AE8B5" w14:textId="77777777" w:rsidTr="00EC6BEE">
        <w:trPr>
          <w:gridAfter w:val="1"/>
          <w:wAfter w:w="84" w:type="dxa"/>
        </w:trPr>
        <w:tc>
          <w:tcPr>
            <w:tcW w:w="2235" w:type="dxa"/>
            <w:gridSpan w:val="3"/>
            <w:vAlign w:val="center"/>
          </w:tcPr>
          <w:p w14:paraId="140FAA22" w14:textId="77E9752A" w:rsidR="00D34FB7" w:rsidRPr="00912141" w:rsidRDefault="00D34FB7" w:rsidP="00EC6BEE">
            <w:pPr>
              <w:jc w:val="righ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Prepared by</w:t>
            </w:r>
          </w:p>
        </w:tc>
        <w:tc>
          <w:tcPr>
            <w:tcW w:w="4819" w:type="dxa"/>
            <w:gridSpan w:val="2"/>
            <w:vAlign w:val="center"/>
          </w:tcPr>
          <w:p w14:paraId="552A0C32" w14:textId="77777777" w:rsidR="00D34FB7" w:rsidRPr="00912141" w:rsidRDefault="00D34FB7" w:rsidP="00EC6BE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Anne Fisk, Senior Advisor  HSW</w:t>
            </w:r>
          </w:p>
        </w:tc>
        <w:tc>
          <w:tcPr>
            <w:tcW w:w="3686" w:type="dxa"/>
            <w:gridSpan w:val="2"/>
            <w:vAlign w:val="center"/>
          </w:tcPr>
          <w:p w14:paraId="59A7CBAF" w14:textId="483F5E46" w:rsidR="00D34FB7" w:rsidRPr="00912141" w:rsidRDefault="0069127B" w:rsidP="00EC6BE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Date: 22</w:t>
            </w:r>
            <w:r w:rsidRPr="0069127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34FB7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June 2016</w:t>
            </w:r>
          </w:p>
        </w:tc>
      </w:tr>
      <w:tr w:rsidR="00D34FB7" w14:paraId="20238F81" w14:textId="77777777" w:rsidTr="00EC6BEE">
        <w:trPr>
          <w:gridAfter w:val="1"/>
          <w:wAfter w:w="84" w:type="dxa"/>
        </w:trPr>
        <w:tc>
          <w:tcPr>
            <w:tcW w:w="2235" w:type="dxa"/>
            <w:gridSpan w:val="3"/>
            <w:vAlign w:val="center"/>
          </w:tcPr>
          <w:p w14:paraId="2C6C8872" w14:textId="0F451352" w:rsidR="00D34FB7" w:rsidRPr="00912141" w:rsidRDefault="00D34FB7" w:rsidP="00EC6BEE">
            <w:pPr>
              <w:jc w:val="right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Reference</w:t>
            </w:r>
          </w:p>
        </w:tc>
        <w:tc>
          <w:tcPr>
            <w:tcW w:w="4819" w:type="dxa"/>
            <w:gridSpan w:val="2"/>
            <w:vAlign w:val="center"/>
          </w:tcPr>
          <w:p w14:paraId="5ABB3802" w14:textId="6032B7CD" w:rsidR="00D34FB7" w:rsidRDefault="00D34FB7" w:rsidP="00EC6BEE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OHS Regulations 2007 Part 4.3 Asbestos</w:t>
            </w:r>
          </w:p>
        </w:tc>
        <w:tc>
          <w:tcPr>
            <w:tcW w:w="3686" w:type="dxa"/>
            <w:gridSpan w:val="2"/>
          </w:tcPr>
          <w:p w14:paraId="5B608036" w14:textId="77777777" w:rsidR="00D34FB7" w:rsidRPr="00912141" w:rsidRDefault="00D34FB7" w:rsidP="0065143D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6EF6A32" w14:textId="77777777" w:rsidR="00523C70" w:rsidRPr="00727296" w:rsidRDefault="00523C70" w:rsidP="0065143D">
      <w:pPr>
        <w:rPr>
          <w:sz w:val="10"/>
        </w:rPr>
      </w:pPr>
    </w:p>
    <w:sectPr w:rsidR="00523C70" w:rsidRPr="00727296" w:rsidSect="004A7C39">
      <w:headerReference w:type="default" r:id="rId20"/>
      <w:footerReference w:type="default" r:id="rId21"/>
      <w:pgSz w:w="11906" w:h="16838"/>
      <w:pgMar w:top="720" w:right="720" w:bottom="720" w:left="720" w:header="708" w:footer="404" w:gutter="0"/>
      <w:pgBorders w:offsetFrom="page">
        <w:top w:val="triple" w:sz="4" w:space="24" w:color="0066FF"/>
        <w:left w:val="triple" w:sz="4" w:space="24" w:color="0066FF"/>
        <w:bottom w:val="triple" w:sz="4" w:space="24" w:color="0066FF"/>
        <w:right w:val="triple" w:sz="4" w:space="24" w:color="00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8875" w14:textId="77777777" w:rsidR="00592C6A" w:rsidRDefault="00592C6A" w:rsidP="00592C6A">
      <w:pPr>
        <w:spacing w:after="0" w:line="240" w:lineRule="auto"/>
      </w:pPr>
      <w:r>
        <w:separator/>
      </w:r>
    </w:p>
  </w:endnote>
  <w:endnote w:type="continuationSeparator" w:id="0">
    <w:p w14:paraId="20F40E8D" w14:textId="77777777" w:rsidR="00592C6A" w:rsidRDefault="00592C6A" w:rsidP="0059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2"/>
      <w:gridCol w:w="3500"/>
      <w:gridCol w:w="3484"/>
    </w:tblGrid>
    <w:tr w:rsidR="004A7C39" w14:paraId="6580B52E" w14:textId="77777777" w:rsidTr="0065143D">
      <w:trPr>
        <w:trHeight w:val="278"/>
      </w:trPr>
      <w:tc>
        <w:tcPr>
          <w:tcW w:w="3560" w:type="dxa"/>
        </w:tcPr>
        <w:p w14:paraId="126F3F67" w14:textId="49AF4D0E" w:rsidR="004A7C39" w:rsidRPr="004A7C39" w:rsidRDefault="00690430" w:rsidP="0065143D">
          <w:pPr>
            <w:pStyle w:val="Footer"/>
            <w:pBdr>
              <w:top w:val="single" w:sz="4" w:space="0" w:color="auto"/>
              <w:between w:val="single" w:sz="4" w:space="0" w:color="auto"/>
            </w:pBdr>
            <w:rPr>
              <w:sz w:val="16"/>
            </w:rPr>
          </w:pPr>
          <w:r>
            <w:rPr>
              <w:sz w:val="16"/>
            </w:rPr>
            <w:t>HSW</w:t>
          </w:r>
          <w:r w:rsidR="004A7C39" w:rsidRPr="004A7C39">
            <w:rPr>
              <w:sz w:val="16"/>
            </w:rPr>
            <w:t xml:space="preserve"> </w:t>
          </w:r>
          <w:r w:rsidR="004E7E05">
            <w:rPr>
              <w:sz w:val="16"/>
            </w:rPr>
            <w:t>–G</w:t>
          </w:r>
          <w:r w:rsidR="00DE6D2E">
            <w:rPr>
              <w:sz w:val="16"/>
            </w:rPr>
            <w:t xml:space="preserve">– </w:t>
          </w:r>
          <w:r w:rsidR="00973CF9">
            <w:rPr>
              <w:sz w:val="16"/>
            </w:rPr>
            <w:t>014</w:t>
          </w:r>
          <w:r w:rsidR="00DE6D2E">
            <w:rPr>
              <w:sz w:val="16"/>
            </w:rPr>
            <w:t xml:space="preserve"> </w:t>
          </w:r>
          <w:r w:rsidR="004E7E05">
            <w:rPr>
              <w:sz w:val="16"/>
            </w:rPr>
            <w:t xml:space="preserve"> </w:t>
          </w:r>
          <w:r w:rsidR="0065143D">
            <w:rPr>
              <w:sz w:val="16"/>
            </w:rPr>
            <w:t>V3.0</w:t>
          </w:r>
          <w:r w:rsidR="000138D0">
            <w:rPr>
              <w:sz w:val="16"/>
            </w:rPr>
            <w:t xml:space="preserve"> </w:t>
          </w:r>
          <w:r w:rsidR="004A7C39" w:rsidRPr="004A7C39">
            <w:rPr>
              <w:sz w:val="16"/>
            </w:rPr>
            <w:t>:</w:t>
          </w:r>
          <w:r w:rsidR="00DE6D2E">
            <w:rPr>
              <w:sz w:val="16"/>
            </w:rPr>
            <w:t xml:space="preserve"> </w:t>
          </w:r>
          <w:r w:rsidR="0069127B">
            <w:rPr>
              <w:sz w:val="16"/>
            </w:rPr>
            <w:t>22</w:t>
          </w:r>
          <w:r w:rsidR="0069127B" w:rsidRPr="0069127B">
            <w:rPr>
              <w:sz w:val="16"/>
              <w:vertAlign w:val="superscript"/>
            </w:rPr>
            <w:t>nd</w:t>
          </w:r>
          <w:r w:rsidR="0069127B">
            <w:rPr>
              <w:sz w:val="16"/>
            </w:rPr>
            <w:t xml:space="preserve"> </w:t>
          </w:r>
          <w:r w:rsidR="0065143D">
            <w:rPr>
              <w:sz w:val="16"/>
            </w:rPr>
            <w:t xml:space="preserve"> June 2016</w:t>
          </w:r>
          <w:r>
            <w:rPr>
              <w:sz w:val="16"/>
            </w:rPr>
            <w:t xml:space="preserve"> 2016</w:t>
          </w:r>
        </w:p>
      </w:tc>
      <w:tc>
        <w:tcPr>
          <w:tcW w:w="3561" w:type="dxa"/>
        </w:tcPr>
        <w:p w14:paraId="0F44FCAA" w14:textId="77777777" w:rsidR="004A7C39" w:rsidRPr="00270755" w:rsidRDefault="0065143D" w:rsidP="0065143D">
          <w:pPr>
            <w:pStyle w:val="Footer"/>
            <w:pBdr>
              <w:top w:val="single" w:sz="4" w:space="0" w:color="auto"/>
              <w:between w:val="single" w:sz="4" w:space="0" w:color="auto"/>
            </w:pBdr>
            <w:jc w:val="center"/>
            <w:rPr>
              <w:rFonts w:ascii="Arial" w:hAnsi="Arial" w:cs="Arial"/>
            </w:rPr>
          </w:pPr>
          <w:r w:rsidRPr="0065143D">
            <w:rPr>
              <w:rFonts w:ascii="Arial" w:hAnsi="Arial" w:cs="Arial"/>
              <w:sz w:val="20"/>
            </w:rPr>
            <w:t>HSW SharePoint</w:t>
          </w:r>
        </w:p>
      </w:tc>
      <w:tc>
        <w:tcPr>
          <w:tcW w:w="3561" w:type="dxa"/>
        </w:tcPr>
        <w:p w14:paraId="174D7ABE" w14:textId="63A04C5F" w:rsidR="004A7C39" w:rsidRPr="00270755" w:rsidRDefault="00270755" w:rsidP="004A7C39">
          <w:pPr>
            <w:pStyle w:val="Footer"/>
            <w:pBdr>
              <w:top w:val="single" w:sz="4" w:space="0" w:color="auto"/>
              <w:between w:val="single" w:sz="4" w:space="0" w:color="auto"/>
            </w:pBdr>
            <w:rPr>
              <w:rFonts w:ascii="Arial" w:hAnsi="Arial" w:cs="Arial"/>
            </w:rPr>
          </w:pPr>
          <w:r w:rsidRPr="00270755">
            <w:rPr>
              <w:rFonts w:ascii="Arial" w:hAnsi="Arial" w:cs="Arial"/>
              <w:sz w:val="16"/>
            </w:rPr>
            <w:t xml:space="preserve">Page </w:t>
          </w:r>
          <w:r w:rsidR="002E2957" w:rsidRPr="00270755">
            <w:rPr>
              <w:rFonts w:ascii="Arial" w:hAnsi="Arial" w:cs="Arial"/>
              <w:sz w:val="16"/>
            </w:rPr>
            <w:fldChar w:fldCharType="begin"/>
          </w:r>
          <w:r w:rsidR="002E2957" w:rsidRPr="00270755">
            <w:rPr>
              <w:rFonts w:ascii="Arial" w:hAnsi="Arial" w:cs="Arial"/>
              <w:sz w:val="16"/>
            </w:rPr>
            <w:instrText xml:space="preserve"> PAGE   \* MERGEFORMAT </w:instrText>
          </w:r>
          <w:r w:rsidR="002E2957" w:rsidRPr="00270755">
            <w:rPr>
              <w:rFonts w:ascii="Arial" w:hAnsi="Arial" w:cs="Arial"/>
              <w:sz w:val="16"/>
            </w:rPr>
            <w:fldChar w:fldCharType="separate"/>
          </w:r>
          <w:r w:rsidR="00D97C1D">
            <w:rPr>
              <w:rFonts w:ascii="Arial" w:hAnsi="Arial" w:cs="Arial"/>
              <w:noProof/>
              <w:sz w:val="16"/>
            </w:rPr>
            <w:t>1</w:t>
          </w:r>
          <w:r w:rsidR="002E2957" w:rsidRPr="00270755">
            <w:rPr>
              <w:rFonts w:ascii="Arial" w:hAnsi="Arial" w:cs="Arial"/>
              <w:sz w:val="16"/>
            </w:rPr>
            <w:fldChar w:fldCharType="end"/>
          </w:r>
          <w:r w:rsidRPr="00270755">
            <w:rPr>
              <w:rFonts w:ascii="Arial" w:hAnsi="Arial" w:cs="Arial"/>
              <w:sz w:val="16"/>
            </w:rPr>
            <w:t xml:space="preserve"> of </w:t>
          </w:r>
          <w:r w:rsidRPr="00270755">
            <w:rPr>
              <w:rFonts w:ascii="Arial" w:hAnsi="Arial" w:cs="Arial"/>
              <w:sz w:val="16"/>
            </w:rPr>
            <w:fldChar w:fldCharType="begin"/>
          </w:r>
          <w:r w:rsidRPr="00270755">
            <w:rPr>
              <w:rFonts w:ascii="Arial" w:hAnsi="Arial" w:cs="Arial"/>
              <w:sz w:val="16"/>
            </w:rPr>
            <w:instrText xml:space="preserve"> DOCPROPERTY  Pages  \* MERGEFORMAT </w:instrText>
          </w:r>
          <w:r w:rsidRPr="00270755">
            <w:rPr>
              <w:rFonts w:ascii="Arial" w:hAnsi="Arial" w:cs="Arial"/>
              <w:sz w:val="16"/>
            </w:rPr>
            <w:fldChar w:fldCharType="separate"/>
          </w:r>
          <w:r w:rsidR="009C3401">
            <w:rPr>
              <w:rFonts w:ascii="Arial" w:hAnsi="Arial" w:cs="Arial"/>
              <w:sz w:val="16"/>
            </w:rPr>
            <w:t>1</w:t>
          </w:r>
          <w:r w:rsidRPr="00270755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4FDC9C79" w14:textId="77777777" w:rsidR="00592C6A" w:rsidRPr="004A7C39" w:rsidRDefault="00592C6A" w:rsidP="002E2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EC12B" w14:textId="77777777" w:rsidR="00592C6A" w:rsidRDefault="00592C6A" w:rsidP="00592C6A">
      <w:pPr>
        <w:spacing w:after="0" w:line="240" w:lineRule="auto"/>
      </w:pPr>
      <w:r>
        <w:separator/>
      </w:r>
    </w:p>
  </w:footnote>
  <w:footnote w:type="continuationSeparator" w:id="0">
    <w:p w14:paraId="1C1E1021" w14:textId="77777777" w:rsidR="00592C6A" w:rsidRDefault="00592C6A" w:rsidP="0059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3708"/>
    </w:tblGrid>
    <w:tr w:rsidR="007A2C0B" w14:paraId="4C9651F5" w14:textId="77777777" w:rsidTr="00814F1E">
      <w:tc>
        <w:tcPr>
          <w:tcW w:w="6771" w:type="dxa"/>
        </w:tcPr>
        <w:p w14:paraId="36793C52" w14:textId="77777777" w:rsidR="007A2C0B" w:rsidRDefault="00325F53" w:rsidP="00AA7EE8">
          <w:pPr>
            <w:pStyle w:val="Header"/>
            <w:rPr>
              <w:rFonts w:ascii="Arial Black" w:hAnsi="Arial Black"/>
              <w:color w:val="0066FF"/>
              <w:sz w:val="44"/>
              <w:szCs w:val="40"/>
            </w:rPr>
          </w:pPr>
          <w:r>
            <w:rPr>
              <w:rFonts w:ascii="Arial Black" w:hAnsi="Arial Black"/>
              <w:color w:val="0066FF"/>
              <w:sz w:val="44"/>
              <w:szCs w:val="40"/>
            </w:rPr>
            <w:t>HSW Guidance Note</w:t>
          </w:r>
        </w:p>
        <w:p w14:paraId="32FB2BFE" w14:textId="77777777" w:rsidR="007A2C0B" w:rsidRDefault="007A2C0B">
          <w:pPr>
            <w:pStyle w:val="Header"/>
          </w:pPr>
        </w:p>
      </w:tc>
      <w:tc>
        <w:tcPr>
          <w:tcW w:w="3708" w:type="dxa"/>
        </w:tcPr>
        <w:p w14:paraId="26DBDE62" w14:textId="77777777" w:rsidR="007A2C0B" w:rsidRDefault="007A2C0B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7D301F77" wp14:editId="3A340ED8">
                <wp:extent cx="1964456" cy="69537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U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895" cy="700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4B87A2" w14:textId="77777777" w:rsidR="001C27B6" w:rsidRPr="007A2C0B" w:rsidRDefault="001C27B6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3F"/>
    <w:multiLevelType w:val="hybridMultilevel"/>
    <w:tmpl w:val="7B62C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46F4"/>
    <w:multiLevelType w:val="hybridMultilevel"/>
    <w:tmpl w:val="717E54F4"/>
    <w:lvl w:ilvl="0" w:tplc="16F036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DC5"/>
    <w:multiLevelType w:val="hybridMultilevel"/>
    <w:tmpl w:val="01BE136A"/>
    <w:lvl w:ilvl="0" w:tplc="4394CF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72569"/>
    <w:multiLevelType w:val="hybridMultilevel"/>
    <w:tmpl w:val="B674F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35CD4"/>
    <w:multiLevelType w:val="hybridMultilevel"/>
    <w:tmpl w:val="4D5E69B8"/>
    <w:lvl w:ilvl="0" w:tplc="558AF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7058C"/>
    <w:multiLevelType w:val="hybridMultilevel"/>
    <w:tmpl w:val="7CF2D944"/>
    <w:lvl w:ilvl="0" w:tplc="196A64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0456F"/>
    <w:multiLevelType w:val="hybridMultilevel"/>
    <w:tmpl w:val="F1E8E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6D"/>
    <w:rsid w:val="000138D0"/>
    <w:rsid w:val="00026147"/>
    <w:rsid w:val="000841BC"/>
    <w:rsid w:val="00084760"/>
    <w:rsid w:val="000D627D"/>
    <w:rsid w:val="00186F76"/>
    <w:rsid w:val="00196A4D"/>
    <w:rsid w:val="001B0103"/>
    <w:rsid w:val="001C27B6"/>
    <w:rsid w:val="001E0667"/>
    <w:rsid w:val="001E1248"/>
    <w:rsid w:val="0020150F"/>
    <w:rsid w:val="00214B6F"/>
    <w:rsid w:val="00233379"/>
    <w:rsid w:val="002378E9"/>
    <w:rsid w:val="00270755"/>
    <w:rsid w:val="002B0247"/>
    <w:rsid w:val="002E2957"/>
    <w:rsid w:val="002F4F47"/>
    <w:rsid w:val="003179D0"/>
    <w:rsid w:val="00325F53"/>
    <w:rsid w:val="003D2C37"/>
    <w:rsid w:val="003D5F49"/>
    <w:rsid w:val="003D6018"/>
    <w:rsid w:val="0043148E"/>
    <w:rsid w:val="00433516"/>
    <w:rsid w:val="004428E1"/>
    <w:rsid w:val="004958E4"/>
    <w:rsid w:val="004A7C39"/>
    <w:rsid w:val="004C3C3F"/>
    <w:rsid w:val="004E7E05"/>
    <w:rsid w:val="004F6733"/>
    <w:rsid w:val="00523C70"/>
    <w:rsid w:val="00535034"/>
    <w:rsid w:val="005914D9"/>
    <w:rsid w:val="00592C6A"/>
    <w:rsid w:val="006375D8"/>
    <w:rsid w:val="0065143D"/>
    <w:rsid w:val="00690430"/>
    <w:rsid w:val="0069127B"/>
    <w:rsid w:val="006C1157"/>
    <w:rsid w:val="006F3357"/>
    <w:rsid w:val="00717C9A"/>
    <w:rsid w:val="00727296"/>
    <w:rsid w:val="00732707"/>
    <w:rsid w:val="0076170B"/>
    <w:rsid w:val="00773C30"/>
    <w:rsid w:val="007922F0"/>
    <w:rsid w:val="007A2C0B"/>
    <w:rsid w:val="007E08CA"/>
    <w:rsid w:val="007F60D2"/>
    <w:rsid w:val="008154BC"/>
    <w:rsid w:val="00837A5E"/>
    <w:rsid w:val="00857F32"/>
    <w:rsid w:val="00874BFA"/>
    <w:rsid w:val="008A66E0"/>
    <w:rsid w:val="00912141"/>
    <w:rsid w:val="00973CF9"/>
    <w:rsid w:val="009B690B"/>
    <w:rsid w:val="009C3401"/>
    <w:rsid w:val="00A2571D"/>
    <w:rsid w:val="00AA7EE8"/>
    <w:rsid w:val="00AE1B71"/>
    <w:rsid w:val="00AE4E59"/>
    <w:rsid w:val="00AE72C2"/>
    <w:rsid w:val="00AF4740"/>
    <w:rsid w:val="00B831BC"/>
    <w:rsid w:val="00BE36B0"/>
    <w:rsid w:val="00C074F4"/>
    <w:rsid w:val="00C72088"/>
    <w:rsid w:val="00CF52DD"/>
    <w:rsid w:val="00D1239F"/>
    <w:rsid w:val="00D2288E"/>
    <w:rsid w:val="00D34FB7"/>
    <w:rsid w:val="00D51D03"/>
    <w:rsid w:val="00D5665E"/>
    <w:rsid w:val="00D724DD"/>
    <w:rsid w:val="00D80C54"/>
    <w:rsid w:val="00D93274"/>
    <w:rsid w:val="00D95E50"/>
    <w:rsid w:val="00D97C1D"/>
    <w:rsid w:val="00DB1185"/>
    <w:rsid w:val="00DB5AA2"/>
    <w:rsid w:val="00DE6D2E"/>
    <w:rsid w:val="00E0182D"/>
    <w:rsid w:val="00E25BA1"/>
    <w:rsid w:val="00E548AC"/>
    <w:rsid w:val="00E630F1"/>
    <w:rsid w:val="00E7300D"/>
    <w:rsid w:val="00EC6BEE"/>
    <w:rsid w:val="00F61AB4"/>
    <w:rsid w:val="00FB637E"/>
    <w:rsid w:val="00FC2A22"/>
    <w:rsid w:val="00FD6AE1"/>
    <w:rsid w:val="00FF736D"/>
    <w:rsid w:val="3BCB377C"/>
    <w:rsid w:val="52C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7386973"/>
  <w15:docId w15:val="{80B557C5-D04D-4BB1-99B6-C86FF195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7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01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6A"/>
  </w:style>
  <w:style w:type="paragraph" w:styleId="Footer">
    <w:name w:val="footer"/>
    <w:basedOn w:val="Normal"/>
    <w:link w:val="FooterChar"/>
    <w:uiPriority w:val="99"/>
    <w:unhideWhenUsed/>
    <w:rsid w:val="0059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6A"/>
  </w:style>
  <w:style w:type="character" w:styleId="Hyperlink">
    <w:name w:val="Hyperlink"/>
    <w:basedOn w:val="DefaultParagraphFont"/>
    <w:uiPriority w:val="99"/>
    <w:unhideWhenUsed/>
    <w:rsid w:val="007922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4F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intranet.vu.edu.au/AsbestosRegister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policy.vu.edu.au/view.current.php?id=0035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W Document" ma:contentTypeID="0x0101005E5BB1B6F3CDF24EBEE70F8CD34D6C7B00DB1155AF64F59240A35D59022AB9EF61" ma:contentTypeVersion="6" ma:contentTypeDescription="" ma:contentTypeScope="" ma:versionID="1aeea7bdac8eceb9c7787a2676b3f44d">
  <xsd:schema xmlns:xsd="http://www.w3.org/2001/XMLSchema" xmlns:xs="http://www.w3.org/2001/XMLSchema" xmlns:p="http://schemas.microsoft.com/office/2006/metadata/properties" xmlns:ns2="7efb3bfb-bb76-41b1-aa41-8afd8bb77dae" targetNamespace="http://schemas.microsoft.com/office/2006/metadata/properties" ma:root="true" ma:fieldsID="18afa9e651b874b3887e72e6a66b7b72" ns2:_="">
    <xsd:import namespace="7efb3bfb-bb76-41b1-aa41-8afd8bb77d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7fd6b39d76f41bbbfd0a4313ec05edd" minOccurs="0"/>
                <xsd:element ref="ns2:TaxCatchAll" minOccurs="0"/>
                <xsd:element ref="ns2:TaxCatchAllLabel" minOccurs="0"/>
                <xsd:element ref="ns2:o3fa4def89f148acacbeb49fec6b66ba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3bfb-bb76-41b1-aa41-8afd8bb77d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7fd6b39d76f41bbbfd0a4313ec05edd" ma:index="11" nillable="true" ma:taxonomy="true" ma:internalName="g7fd6b39d76f41bbbfd0a4313ec05edd" ma:taxonomyFieldName="DocumentType" ma:displayName="Document Type" ma:default="" ma:fieldId="{07fd6b39-d76f-41bb-bfd0-a4313ec05edd}" ma:sspId="33c711dc-b8b5-4311-b6fb-6cf4ef7540f5" ma:termSetId="2d2295b8-7804-45c2-a0d9-4ca4916973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d4b395a-4f61-4103-8301-bc3db89c0151}" ma:internalName="TaxCatchAll" ma:showField="CatchAllData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d4b395a-4f61-4103-8301-bc3db89c0151}" ma:internalName="TaxCatchAllLabel" ma:readOnly="true" ma:showField="CatchAllDataLabel" ma:web="7efb3bfb-bb76-41b1-aa41-8afd8bb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fa4def89f148acacbeb49fec6b66ba" ma:index="15" nillable="true" ma:taxonomy="true" ma:internalName="o3fa4def89f148acacbeb49fec6b66ba" ma:taxonomyFieldName="Topic" ma:displayName="Topic" ma:default="" ma:fieldId="{83fa4def-89f1-48ac-acbe-b49fec6b66ba}" ma:sspId="33c711dc-b8b5-4311-b6fb-6cf4ef7540f5" ma:termSetId="29d8be40-a1d7-4fce-9f2d-e551954f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3c711dc-b8b5-4311-b6fb-6cf4ef7540f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 labels guide health risk</TermName>
          <TermId xmlns="http://schemas.microsoft.com/office/infopath/2007/PartnerControls">8c98133f-6ff2-46c0-af58-e8488002b974</TermId>
        </TermInfo>
      </Terms>
    </TaxKeywordTaxHTField>
    <TaxCatchAll xmlns="7efb3bfb-bb76-41b1-aa41-8afd8bb77dae">
      <Value>4</Value>
      <Value>80</Value>
      <Value>29</Value>
    </TaxCatchAll>
    <o3fa4def89f148acacbeb49fec6b66ba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Asbestos</TermName>
          <TermId xmlns="http://schemas.microsoft.com/office/infopath/2007/PartnerControls">6f48bec0-cbef-46b1-9a8c-bb156cad353a</TermId>
        </TermInfo>
      </Terms>
    </o3fa4def89f148acacbeb49fec6b66ba>
    <g7fd6b39d76f41bbbfd0a4313ec05edd xmlns="7efb3bfb-bb76-41b1-aa41-8afd8bb77d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02172f18-ddca-4fe8-93d7-34a0595972da</TermId>
        </TermInfo>
      </Terms>
    </g7fd6b39d76f41bbbfd0a4313ec05edd>
    <_dlc_DocId xmlns="7efb3bfb-bb76-41b1-aa41-8afd8bb77dae">MVXSJJ2Q5YXA-2031517640-1</_dlc_DocId>
    <_dlc_DocIdUrl xmlns="7efb3bfb-bb76-41b1-aa41-8afd8bb77dae">
      <Url>https://kit.vu.edu.au/team/hsw/_layouts/15/DocIdRedir.aspx?ID=MVXSJJ2Q5YXA-2031517640-1</Url>
      <Description>MVXSJJ2Q5YXA-2031517640-1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821D-9F87-496D-875B-B739843223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A35BD1-6020-4968-9D5C-9B90A19D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b3bfb-bb76-41b1-aa41-8afd8bb77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026DC-B549-4849-82E8-0FA03DECA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418CA-87AA-42D8-A2B0-20727835DE78}">
  <ds:schemaRefs>
    <ds:schemaRef ds:uri="http://purl.org/dc/terms/"/>
    <ds:schemaRef ds:uri="7efb3bfb-bb76-41b1-aa41-8afd8bb77da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891291-159A-4C5F-A58B-86607353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HSW-G-014 Asbestos Guidance Note</vt:lpstr>
    </vt:vector>
  </TitlesOfParts>
  <Company>Victoria University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HSW-G-014 Asbestos Guidance Note</dc:title>
  <dc:creator>Victoria University</dc:creator>
  <cp:keywords>asbestos labels guide health risk</cp:keywords>
  <cp:lastModifiedBy>Caroline Courtney</cp:lastModifiedBy>
  <cp:revision>2</cp:revision>
  <cp:lastPrinted>2015-11-11T00:24:00Z</cp:lastPrinted>
  <dcterms:created xsi:type="dcterms:W3CDTF">2020-02-12T21:54:00Z</dcterms:created>
  <dcterms:modified xsi:type="dcterms:W3CDTF">2020-02-12T21:54:00Z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0x0101005E5BB1B6F3CDF24EBEE70F8CD34D6C7B00DB1155AF64F59240A35D59022AB9EF61</vt:lpwstr>
  </property>
  <property fmtid="{D5CDD505-2E9C-101B-9397-08002B2CF9AE}" pid="3" name="_dlc_DocIdItemGuid">
    <vt:lpwstr>eb1f3dcb-27f0-4e6b-a439-2402a5a88b04</vt:lpwstr>
  </property>
  <property fmtid="{D5CDD505-2E9C-101B-9397-08002B2CF9AE}" pid="4" name="TaxKeyword">
    <vt:lpwstr>80;#asbestos labels guide health risk|8c98133f-6ff2-46c0-af58-e8488002b974</vt:lpwstr>
  </property>
  <property fmtid="{D5CDD505-2E9C-101B-9397-08002B2CF9AE}" pid="5" name="Topic">
    <vt:lpwstr>4;#Asbestos|6f48bec0-cbef-46b1-9a8c-bb156cad353a</vt:lpwstr>
  </property>
  <property fmtid="{D5CDD505-2E9C-101B-9397-08002B2CF9AE}" pid="6" name="DocumentType">
    <vt:lpwstr>29;#Guidelines|02172f18-ddca-4fe8-93d7-34a0595972da</vt:lpwstr>
  </property>
</Properties>
</file>